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5c07" w14:textId="f185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9 июня 2015 года № 63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Решения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УТВЕРЖДЕНА             </w:t>
      </w:r>
    </w:p>
    <w:bookmarkEnd w:id="1"/>
    <w:p>
      <w:pPr>
        <w:spacing w:after="0"/>
        <w:ind w:left="0"/>
        <w:jc w:val="both"/>
      </w:pPr>
      <w:r>
        <w:rPr>
          <w:rFonts w:ascii="Times New Roman"/>
          <w:b w:val="false"/>
          <w:i w:val="false"/>
          <w:color w:val="000000"/>
          <w:sz w:val="28"/>
        </w:rPr>
        <w:t xml:space="preserve">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9 июня 2015 г. № 63       </w:t>
      </w:r>
    </w:p>
    <w:bookmarkStart w:name="z6" w:id="2"/>
    <w:p>
      <w:pPr>
        <w:spacing w:after="0"/>
        <w:ind w:left="0"/>
        <w:jc w:val="left"/>
      </w:pPr>
      <w:r>
        <w:rPr>
          <w:rFonts w:ascii="Times New Roman"/>
          <w:b/>
          <w:i w:val="false"/>
          <w:color w:val="000000"/>
        </w:rPr>
        <w:t xml:space="preserve"> 
МЕТОДИКА</w:t>
      </w:r>
      <w:r>
        <w:br/>
      </w:r>
      <w:r>
        <w:rPr>
          <w:rFonts w:ascii="Times New Roman"/>
          <w:b/>
          <w:i w:val="false"/>
          <w:color w:val="000000"/>
        </w:rPr>
        <w:t>
анализа, оптимизации, гармонизации и описания общих процессов</w:t>
      </w:r>
      <w:r>
        <w:br/>
      </w:r>
      <w:r>
        <w:rPr>
          <w:rFonts w:ascii="Times New Roman"/>
          <w:b/>
          <w:i w:val="false"/>
          <w:color w:val="000000"/>
        </w:rPr>
        <w:t>
в рамках Евразийского экономического союза</w:t>
      </w:r>
    </w:p>
    <w:bookmarkEnd w:id="2"/>
    <w:bookmarkStart w:name="z7" w:id="3"/>
    <w:p>
      <w:pPr>
        <w:spacing w:after="0"/>
        <w:ind w:left="0"/>
        <w:jc w:val="left"/>
      </w:pPr>
      <w:r>
        <w:rPr>
          <w:rFonts w:ascii="Times New Roman"/>
          <w:b/>
          <w:i w:val="false"/>
          <w:color w:val="000000"/>
        </w:rPr>
        <w:t xml:space="preserve"> 
I. Общие положения</w:t>
      </w:r>
    </w:p>
    <w:bookmarkEnd w:id="3"/>
    <w:bookmarkStart w:name="z8" w:id="4"/>
    <w:p>
      <w:pPr>
        <w:spacing w:after="0"/>
        <w:ind w:left="0"/>
        <w:jc w:val="both"/>
      </w:pPr>
      <w:r>
        <w:rPr>
          <w:rFonts w:ascii="Times New Roman"/>
          <w:b w:val="false"/>
          <w:i w:val="false"/>
          <w:color w:val="000000"/>
          <w:sz w:val="28"/>
        </w:rPr>
        <w:t>
      1. Настоящая Методика разработана в целях организации проведения анализа, оптимизации, гармонизации и описания общих процессов в рамках Евразийского экономического союза (далее – общий процесс, Союз) и предназначена для использования в качестве методических рекомендаций и технических требований к проектированию и описанию общих процессов, подлежащих учету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Решения Коллегии Евразийской экономической комиссии от 6 ноября 2014 г. № 200 при формировании технологических документов,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(далее соответственно – интегрированная система, технологические документы общего процесса).</w:t>
      </w:r>
      <w:r>
        <w:br/>
      </w:r>
      <w:r>
        <w:rPr>
          <w:rFonts w:ascii="Times New Roman"/>
          <w:b w:val="false"/>
          <w:i w:val="false"/>
          <w:color w:val="000000"/>
          <w:sz w:val="28"/>
        </w:rPr>
        <w:t>
</w:t>
      </w:r>
      <w:r>
        <w:rPr>
          <w:rFonts w:ascii="Times New Roman"/>
          <w:b w:val="false"/>
          <w:i w:val="false"/>
          <w:color w:val="000000"/>
          <w:sz w:val="28"/>
        </w:rPr>
        <w:t>
      2. Для целей настоящей Методики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«базисная модель взаимодействия» – часть модели общих процессов, содержащая объекты, которые могут повторно использоваться при описании общих процессов и порядка обмена информацией между участниками общих процессов;</w:t>
      </w:r>
      <w:r>
        <w:br/>
      </w:r>
      <w:r>
        <w:rPr>
          <w:rFonts w:ascii="Times New Roman"/>
          <w:b w:val="false"/>
          <w:i w:val="false"/>
          <w:color w:val="000000"/>
          <w:sz w:val="28"/>
        </w:rPr>
        <w:t>
</w:t>
      </w:r>
      <w:r>
        <w:rPr>
          <w:rFonts w:ascii="Times New Roman"/>
          <w:b w:val="false"/>
          <w:i w:val="false"/>
          <w:color w:val="000000"/>
          <w:sz w:val="28"/>
        </w:rPr>
        <w:t>
      «базисная модель данных» – часть модели данных, содержащая типы и элементы данных, которые могут повторно использоваться на всех уровнях моделирования, являются семантически нейтральными и не отражают специфику предметных областей;</w:t>
      </w:r>
      <w:r>
        <w:br/>
      </w:r>
      <w:r>
        <w:rPr>
          <w:rFonts w:ascii="Times New Roman"/>
          <w:b w:val="false"/>
          <w:i w:val="false"/>
          <w:color w:val="000000"/>
          <w:sz w:val="28"/>
        </w:rPr>
        <w:t>
</w:t>
      </w:r>
      <w:r>
        <w:rPr>
          <w:rFonts w:ascii="Times New Roman"/>
          <w:b w:val="false"/>
          <w:i w:val="false"/>
          <w:color w:val="000000"/>
          <w:sz w:val="28"/>
        </w:rPr>
        <w:t>
      «гармонизация» – действие по согласованию определений, структур и форматов представления элементов данных в представляющей интерес области;</w:t>
      </w:r>
      <w:r>
        <w:br/>
      </w:r>
      <w:r>
        <w:rPr>
          <w:rFonts w:ascii="Times New Roman"/>
          <w:b w:val="false"/>
          <w:i w:val="false"/>
          <w:color w:val="000000"/>
          <w:sz w:val="28"/>
        </w:rPr>
        <w:t>
</w:t>
      </w:r>
      <w:r>
        <w:rPr>
          <w:rFonts w:ascii="Times New Roman"/>
          <w:b w:val="false"/>
          <w:i w:val="false"/>
          <w:color w:val="000000"/>
          <w:sz w:val="28"/>
        </w:rPr>
        <w:t>
      «группа процедур общего процесса» – процедуры общего процесса, объединенные по какому-либо признаку в зависимости от специфики общего процесса;</w:t>
      </w:r>
      <w:r>
        <w:br/>
      </w:r>
      <w:r>
        <w:rPr>
          <w:rFonts w:ascii="Times New Roman"/>
          <w:b w:val="false"/>
          <w:i w:val="false"/>
          <w:color w:val="000000"/>
          <w:sz w:val="28"/>
        </w:rPr>
        <w:t>
</w:t>
      </w:r>
      <w:r>
        <w:rPr>
          <w:rFonts w:ascii="Times New Roman"/>
          <w:b w:val="false"/>
          <w:i w:val="false"/>
          <w:color w:val="000000"/>
          <w:sz w:val="28"/>
        </w:rPr>
        <w:t>
      «инициатор» – участник информационного взаимодействия, начинающий выполнение транзакции общего процесса;</w:t>
      </w:r>
      <w:r>
        <w:br/>
      </w:r>
      <w:r>
        <w:rPr>
          <w:rFonts w:ascii="Times New Roman"/>
          <w:b w:val="false"/>
          <w:i w:val="false"/>
          <w:color w:val="000000"/>
          <w:sz w:val="28"/>
        </w:rPr>
        <w:t>
</w:t>
      </w:r>
      <w:r>
        <w:rPr>
          <w:rFonts w:ascii="Times New Roman"/>
          <w:b w:val="false"/>
          <w:i w:val="false"/>
          <w:color w:val="000000"/>
          <w:sz w:val="28"/>
        </w:rPr>
        <w:t>
      «инициирующая операция» – первая операция транзакции общего процесса, выполняемая инициатором;</w:t>
      </w:r>
      <w:r>
        <w:br/>
      </w:r>
      <w:r>
        <w:rPr>
          <w:rFonts w:ascii="Times New Roman"/>
          <w:b w:val="false"/>
          <w:i w:val="false"/>
          <w:color w:val="000000"/>
          <w:sz w:val="28"/>
        </w:rPr>
        <w:t>
</w:t>
      </w:r>
      <w:r>
        <w:rPr>
          <w:rFonts w:ascii="Times New Roman"/>
          <w:b w:val="false"/>
          <w:i w:val="false"/>
          <w:color w:val="000000"/>
          <w:sz w:val="28"/>
        </w:rPr>
        <w:t>
      «информационная система» – совокупность информационных технологий и технических средств, обеспечивающих обработку информационных ресурсов;</w:t>
      </w:r>
      <w:r>
        <w:br/>
      </w:r>
      <w:r>
        <w:rPr>
          <w:rFonts w:ascii="Times New Roman"/>
          <w:b w:val="false"/>
          <w:i w:val="false"/>
          <w:color w:val="000000"/>
          <w:sz w:val="28"/>
        </w:rPr>
        <w:t>
</w:t>
      </w:r>
      <w:r>
        <w:rPr>
          <w:rFonts w:ascii="Times New Roman"/>
          <w:b w:val="false"/>
          <w:i w:val="false"/>
          <w:color w:val="000000"/>
          <w:sz w:val="28"/>
        </w:rPr>
        <w:t>
      «информационное взаимодействие» – обмен электронными документами и сведениями между двумя или более участниками общего процесса;</w:t>
      </w:r>
      <w:r>
        <w:br/>
      </w:r>
      <w:r>
        <w:rPr>
          <w:rFonts w:ascii="Times New Roman"/>
          <w:b w:val="false"/>
          <w:i w:val="false"/>
          <w:color w:val="000000"/>
          <w:sz w:val="28"/>
        </w:rPr>
        <w:t>
</w:t>
      </w:r>
      <w:r>
        <w:rPr>
          <w:rFonts w:ascii="Times New Roman"/>
          <w:b w:val="false"/>
          <w:i w:val="false"/>
          <w:color w:val="000000"/>
          <w:sz w:val="28"/>
        </w:rPr>
        <w:t>
      «информационный объект общего процесса» – обстоятельства, действия или события, сведения о возникновении, изменении или прекращении (завершении) которых передаются в процессе информационного взаимодействия между участниками общего процесса в ходе выполнения процедур общего процесса;</w:t>
      </w:r>
      <w:r>
        <w:br/>
      </w:r>
      <w:r>
        <w:rPr>
          <w:rFonts w:ascii="Times New Roman"/>
          <w:b w:val="false"/>
          <w:i w:val="false"/>
          <w:color w:val="000000"/>
          <w:sz w:val="28"/>
        </w:rPr>
        <w:t>
</w:t>
      </w:r>
      <w:r>
        <w:rPr>
          <w:rFonts w:ascii="Times New Roman"/>
          <w:b w:val="false"/>
          <w:i w:val="false"/>
          <w:color w:val="000000"/>
          <w:sz w:val="28"/>
        </w:rPr>
        <w:t>
      «исполнитель» – участник общего процесса, отвечающий за выполнение операции;</w:t>
      </w:r>
      <w:r>
        <w:br/>
      </w:r>
      <w:r>
        <w:rPr>
          <w:rFonts w:ascii="Times New Roman"/>
          <w:b w:val="false"/>
          <w:i w:val="false"/>
          <w:color w:val="000000"/>
          <w:sz w:val="28"/>
        </w:rPr>
        <w:t>
</w:t>
      </w:r>
      <w:r>
        <w:rPr>
          <w:rFonts w:ascii="Times New Roman"/>
          <w:b w:val="false"/>
          <w:i w:val="false"/>
          <w:color w:val="000000"/>
          <w:sz w:val="28"/>
        </w:rPr>
        <w:t>
      «модель взаимодействия в рамках общего процесса» – компактное упрощенное представление о деятельности, предназначенное для анализа и формализованного описания взаимосвязанных бизнес-процессов и реализации информационного взаимодействия между их участниками, ограниченное рамками предметных областей;</w:t>
      </w:r>
      <w:r>
        <w:br/>
      </w:r>
      <w:r>
        <w:rPr>
          <w:rFonts w:ascii="Times New Roman"/>
          <w:b w:val="false"/>
          <w:i w:val="false"/>
          <w:color w:val="000000"/>
          <w:sz w:val="28"/>
        </w:rPr>
        <w:t>
</w:t>
      </w:r>
      <w:r>
        <w:rPr>
          <w:rFonts w:ascii="Times New Roman"/>
          <w:b w:val="false"/>
          <w:i w:val="false"/>
          <w:color w:val="000000"/>
          <w:sz w:val="28"/>
        </w:rPr>
        <w:t>
      «модель данных предметной области» – часть модели данных, содержащая повторно используемые для построения структур электронных документов и сведений объекты, отражающие специфику определенной предметной области, сами являющиеся результатом моделирования, в том числе с использованием объектов базисной модели данных;</w:t>
      </w:r>
      <w:r>
        <w:br/>
      </w:r>
      <w:r>
        <w:rPr>
          <w:rFonts w:ascii="Times New Roman"/>
          <w:b w:val="false"/>
          <w:i w:val="false"/>
          <w:color w:val="000000"/>
          <w:sz w:val="28"/>
        </w:rPr>
        <w:t>
</w:t>
      </w:r>
      <w:r>
        <w:rPr>
          <w:rFonts w:ascii="Times New Roman"/>
          <w:b w:val="false"/>
          <w:i w:val="false"/>
          <w:color w:val="000000"/>
          <w:sz w:val="28"/>
        </w:rPr>
        <w:t>
      «модель данных» – представление юридических фактов (обстоятельств, действий или событий), связей между ними и их состояний в виде графического и (или) словесного описания, пригодное для передачи, интерпретации и обработки формализованным образом, ограниченное рамками предметных областей реализации общих процессов;</w:t>
      </w:r>
      <w:r>
        <w:br/>
      </w:r>
      <w:r>
        <w:rPr>
          <w:rFonts w:ascii="Times New Roman"/>
          <w:b w:val="false"/>
          <w:i w:val="false"/>
          <w:color w:val="000000"/>
          <w:sz w:val="28"/>
        </w:rPr>
        <w:t>
</w:t>
      </w:r>
      <w:r>
        <w:rPr>
          <w:rFonts w:ascii="Times New Roman"/>
          <w:b w:val="false"/>
          <w:i w:val="false"/>
          <w:color w:val="000000"/>
          <w:sz w:val="28"/>
        </w:rPr>
        <w:t>
      «модель общих процессов» – система взаимосвязанных фактов, понятий и отношений, предназначенная для описания и реализации общих процессов;</w:t>
      </w:r>
      <w:r>
        <w:br/>
      </w:r>
      <w:r>
        <w:rPr>
          <w:rFonts w:ascii="Times New Roman"/>
          <w:b w:val="false"/>
          <w:i w:val="false"/>
          <w:color w:val="000000"/>
          <w:sz w:val="28"/>
        </w:rPr>
        <w:t>
</w:t>
      </w:r>
      <w:r>
        <w:rPr>
          <w:rFonts w:ascii="Times New Roman"/>
          <w:b w:val="false"/>
          <w:i w:val="false"/>
          <w:color w:val="000000"/>
          <w:sz w:val="28"/>
        </w:rPr>
        <w:t>
      «объект модели» – составная часть модели, представляющая собой обстоятельство, действие или событие и (или) их состояние, в отношении которых осуществляется моделирование;</w:t>
      </w:r>
      <w:r>
        <w:br/>
      </w:r>
      <w:r>
        <w:rPr>
          <w:rFonts w:ascii="Times New Roman"/>
          <w:b w:val="false"/>
          <w:i w:val="false"/>
          <w:color w:val="000000"/>
          <w:sz w:val="28"/>
        </w:rPr>
        <w:t>
</w:t>
      </w:r>
      <w:r>
        <w:rPr>
          <w:rFonts w:ascii="Times New Roman"/>
          <w:b w:val="false"/>
          <w:i w:val="false"/>
          <w:color w:val="000000"/>
          <w:sz w:val="28"/>
        </w:rPr>
        <w:t>
      «операция общего процесса» – очередное, повторяющееся действие, входящее в круг функций, задач определенного участника общего процесса;</w:t>
      </w:r>
      <w:r>
        <w:br/>
      </w:r>
      <w:r>
        <w:rPr>
          <w:rFonts w:ascii="Times New Roman"/>
          <w:b w:val="false"/>
          <w:i w:val="false"/>
          <w:color w:val="000000"/>
          <w:sz w:val="28"/>
        </w:rPr>
        <w:t>
</w:t>
      </w:r>
      <w:r>
        <w:rPr>
          <w:rFonts w:ascii="Times New Roman"/>
          <w:b w:val="false"/>
          <w:i w:val="false"/>
          <w:color w:val="000000"/>
          <w:sz w:val="28"/>
        </w:rPr>
        <w:t>
      «описание форматов и структур электронных документов и сведений, используемых для реализации средствами интегрированной системы общего процесса» – технологический документ, определяющий требования к форматам и структурам электронных документов и сведений, используемых при информационном взаимодействии в рамках общего процесса;</w:t>
      </w:r>
      <w:r>
        <w:br/>
      </w:r>
      <w:r>
        <w:rPr>
          <w:rFonts w:ascii="Times New Roman"/>
          <w:b w:val="false"/>
          <w:i w:val="false"/>
          <w:color w:val="000000"/>
          <w:sz w:val="28"/>
        </w:rPr>
        <w:t>
</w:t>
      </w:r>
      <w:r>
        <w:rPr>
          <w:rFonts w:ascii="Times New Roman"/>
          <w:b w:val="false"/>
          <w:i w:val="false"/>
          <w:color w:val="000000"/>
          <w:sz w:val="28"/>
        </w:rPr>
        <w:t>
      «порядок присоединения к общему процессу» – технологический документ, определяющий требования к информационному взаимодействию, выполняемые одномоментно либо на протяжении определенного периода времени при присоединении нового участника к общему процессу;</w:t>
      </w:r>
      <w:r>
        <w:br/>
      </w:r>
      <w:r>
        <w:rPr>
          <w:rFonts w:ascii="Times New Roman"/>
          <w:b w:val="false"/>
          <w:i w:val="false"/>
          <w:color w:val="000000"/>
          <w:sz w:val="28"/>
        </w:rPr>
        <w:t>
</w:t>
      </w:r>
      <w:r>
        <w:rPr>
          <w:rFonts w:ascii="Times New Roman"/>
          <w:b w:val="false"/>
          <w:i w:val="false"/>
          <w:color w:val="000000"/>
          <w:sz w:val="28"/>
        </w:rPr>
        <w:t>
      «правила информационного взаимодействия при реализации средствами интегрированной системы общего процесса» – технологический документ, содержащий обобщенное описание общего процесса, включая описание процедур, выполняемых в рамках этого общего процесса;</w:t>
      </w:r>
      <w:r>
        <w:br/>
      </w:r>
      <w:r>
        <w:rPr>
          <w:rFonts w:ascii="Times New Roman"/>
          <w:b w:val="false"/>
          <w:i w:val="false"/>
          <w:color w:val="000000"/>
          <w:sz w:val="28"/>
        </w:rPr>
        <w:t>
</w:t>
      </w:r>
      <w:r>
        <w:rPr>
          <w:rFonts w:ascii="Times New Roman"/>
          <w:b w:val="false"/>
          <w:i w:val="false"/>
          <w:color w:val="000000"/>
          <w:sz w:val="28"/>
        </w:rPr>
        <w:t>
      «предметная область» – сфера деятельности Евразийской экономической комиссии и (или) уполномоченных органов государств – членов Союза или ее часть, в которой реализуются полномочия, предусмотренные международными договорами и актами, составляющими право Союза и законодательством государств-членов соответственно;</w:t>
      </w:r>
      <w:r>
        <w:br/>
      </w:r>
      <w:r>
        <w:rPr>
          <w:rFonts w:ascii="Times New Roman"/>
          <w:b w:val="false"/>
          <w:i w:val="false"/>
          <w:color w:val="000000"/>
          <w:sz w:val="28"/>
        </w:rPr>
        <w:t>
</w:t>
      </w:r>
      <w:r>
        <w:rPr>
          <w:rFonts w:ascii="Times New Roman"/>
          <w:b w:val="false"/>
          <w:i w:val="false"/>
          <w:color w:val="000000"/>
          <w:sz w:val="28"/>
        </w:rPr>
        <w:t>
      «принимающая операция» – операция приема сообщения общего процесса, выполняемая респондентом в рамках транзакции общего процесса;</w:t>
      </w:r>
      <w:r>
        <w:br/>
      </w:r>
      <w:r>
        <w:rPr>
          <w:rFonts w:ascii="Times New Roman"/>
          <w:b w:val="false"/>
          <w:i w:val="false"/>
          <w:color w:val="000000"/>
          <w:sz w:val="28"/>
        </w:rPr>
        <w:t>
</w:t>
      </w:r>
      <w:r>
        <w:rPr>
          <w:rFonts w:ascii="Times New Roman"/>
          <w:b w:val="false"/>
          <w:i w:val="false"/>
          <w:color w:val="000000"/>
          <w:sz w:val="28"/>
        </w:rPr>
        <w:t>
      «процедура общего процесса» – совокупность связанных между собой операций общего процесса, выполняемых участниками общего процесса и направленных на решение конкретной задачи в рамках общего процесса;</w:t>
      </w:r>
      <w:r>
        <w:br/>
      </w:r>
      <w:r>
        <w:rPr>
          <w:rFonts w:ascii="Times New Roman"/>
          <w:b w:val="false"/>
          <w:i w:val="false"/>
          <w:color w:val="000000"/>
          <w:sz w:val="28"/>
        </w:rPr>
        <w:t>
</w:t>
      </w:r>
      <w:r>
        <w:rPr>
          <w:rFonts w:ascii="Times New Roman"/>
          <w:b w:val="false"/>
          <w:i w:val="false"/>
          <w:color w:val="000000"/>
          <w:sz w:val="28"/>
        </w:rPr>
        <w:t>
      «регламент информационного взаимодействия между участниками общего процесса при реализации средствами интегрированной системы общего процесса» – технологический документ, определяющий требования к порядку и условиям выполнения операций, непосредственно направленных на реализацию информационного взаимодействия между определенными участниками общего процесса;</w:t>
      </w:r>
      <w:r>
        <w:br/>
      </w:r>
      <w:r>
        <w:rPr>
          <w:rFonts w:ascii="Times New Roman"/>
          <w:b w:val="false"/>
          <w:i w:val="false"/>
          <w:color w:val="000000"/>
          <w:sz w:val="28"/>
        </w:rPr>
        <w:t>
</w:t>
      </w:r>
      <w:r>
        <w:rPr>
          <w:rFonts w:ascii="Times New Roman"/>
          <w:b w:val="false"/>
          <w:i w:val="false"/>
          <w:color w:val="000000"/>
          <w:sz w:val="28"/>
        </w:rPr>
        <w:t>
      «реестр структур электронных документов и сведений» – реестр, включающий в себя полный перечень структур электронных документов и сведений, используемых при реализации информационного взаимодействия в интегрированной системе, определенный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сентября 2014 г. № 180;</w:t>
      </w:r>
      <w:r>
        <w:br/>
      </w:r>
      <w:r>
        <w:rPr>
          <w:rFonts w:ascii="Times New Roman"/>
          <w:b w:val="false"/>
          <w:i w:val="false"/>
          <w:color w:val="000000"/>
          <w:sz w:val="28"/>
        </w:rPr>
        <w:t>
</w:t>
      </w:r>
      <w:r>
        <w:rPr>
          <w:rFonts w:ascii="Times New Roman"/>
          <w:b w:val="false"/>
          <w:i w:val="false"/>
          <w:color w:val="000000"/>
          <w:sz w:val="28"/>
        </w:rPr>
        <w:t>
      «респондент» – участник информационного взаимодействия, принимающий сообщение от инициатора транзакции общего процесса и реагирующий на него по сценарию, определенному шаблоном транзакции общего процесса;</w:t>
      </w:r>
      <w:r>
        <w:br/>
      </w:r>
      <w:r>
        <w:rPr>
          <w:rFonts w:ascii="Times New Roman"/>
          <w:b w:val="false"/>
          <w:i w:val="false"/>
          <w:color w:val="000000"/>
          <w:sz w:val="28"/>
        </w:rPr>
        <w:t>
</w:t>
      </w:r>
      <w:r>
        <w:rPr>
          <w:rFonts w:ascii="Times New Roman"/>
          <w:b w:val="false"/>
          <w:i w:val="false"/>
          <w:color w:val="000000"/>
          <w:sz w:val="28"/>
        </w:rPr>
        <w:t>
      «сообщение общего процесса» – формализованная информация прикладного характера, передаваемая в рамках информационного взаимодействия общего процесса;</w:t>
      </w:r>
      <w:r>
        <w:br/>
      </w:r>
      <w:r>
        <w:rPr>
          <w:rFonts w:ascii="Times New Roman"/>
          <w:b w:val="false"/>
          <w:i w:val="false"/>
          <w:color w:val="000000"/>
          <w:sz w:val="28"/>
        </w:rPr>
        <w:t>
</w:t>
      </w:r>
      <w:r>
        <w:rPr>
          <w:rFonts w:ascii="Times New Roman"/>
          <w:b w:val="false"/>
          <w:i w:val="false"/>
          <w:color w:val="000000"/>
          <w:sz w:val="28"/>
        </w:rPr>
        <w:t>
      «транзакция общего процесса» – элементарное информационное взаимодействие между двумя участниками, которое осуществляется каждым участником в рамках своей операции общего процесса;</w:t>
      </w:r>
      <w:r>
        <w:br/>
      </w:r>
      <w:r>
        <w:rPr>
          <w:rFonts w:ascii="Times New Roman"/>
          <w:b w:val="false"/>
          <w:i w:val="false"/>
          <w:color w:val="000000"/>
          <w:sz w:val="28"/>
        </w:rPr>
        <w:t>
</w:t>
      </w:r>
      <w:r>
        <w:rPr>
          <w:rFonts w:ascii="Times New Roman"/>
          <w:b w:val="false"/>
          <w:i w:val="false"/>
          <w:color w:val="000000"/>
          <w:sz w:val="28"/>
        </w:rPr>
        <w:t>
      «участник общего процесса» – Евразийская экономическая комиссия, уполномоченный орган государства – члена Союза, а также юридическое или физическое лицо, которое заинтересовано в результатах общего процесса или участие которого в общем процессе регламентировано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«элемент данных» – единица данных,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Понятия «интегрированная информационная система Союза», «классификатор», «информационный ресурс», «общий информационный ресурс», «общий процесс в рамках Союза», «справочник», «электронный документ» используются в настоящей Методике в значениях, определенных  </w:t>
      </w:r>
      <w:r>
        <w:rPr>
          <w:rFonts w:ascii="Times New Roman"/>
          <w:b w:val="false"/>
          <w:i w:val="false"/>
          <w:color w:val="000000"/>
          <w:sz w:val="28"/>
        </w:rPr>
        <w:t>Протоколом</w:t>
      </w:r>
      <w:r>
        <w:rPr>
          <w:rFonts w:ascii="Times New Roman"/>
          <w:b w:val="false"/>
          <w:i w:val="false"/>
          <w:color w:val="000000"/>
          <w:sz w:val="28"/>
        </w:rPr>
        <w:t xml:space="preserve">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Для целей настоящей Методики наименование и содержание общего процесса в приводимых примерах является условным.</w:t>
      </w:r>
    </w:p>
    <w:bookmarkEnd w:id="4"/>
    <w:bookmarkStart w:name="z10" w:id="5"/>
    <w:p>
      <w:pPr>
        <w:spacing w:after="0"/>
        <w:ind w:left="0"/>
        <w:jc w:val="left"/>
      </w:pPr>
      <w:r>
        <w:rPr>
          <w:rFonts w:ascii="Times New Roman"/>
          <w:b/>
          <w:i w:val="false"/>
          <w:color w:val="000000"/>
        </w:rPr>
        <w:t xml:space="preserve"> 
II. Принципы и этапы</w:t>
      </w:r>
      <w:r>
        <w:br/>
      </w:r>
      <w:r>
        <w:rPr>
          <w:rFonts w:ascii="Times New Roman"/>
          <w:b/>
          <w:i w:val="false"/>
          <w:color w:val="000000"/>
        </w:rPr>
        <w:t>
проектирования общих процессов</w:t>
      </w:r>
    </w:p>
    <w:bookmarkEnd w:id="5"/>
    <w:bookmarkStart w:name="z11" w:id="6"/>
    <w:p>
      <w:pPr>
        <w:spacing w:after="0"/>
        <w:ind w:left="0"/>
        <w:jc w:val="both"/>
      </w:pPr>
      <w:r>
        <w:rPr>
          <w:rFonts w:ascii="Times New Roman"/>
          <w:b w:val="false"/>
          <w:i w:val="false"/>
          <w:color w:val="000000"/>
          <w:sz w:val="28"/>
        </w:rPr>
        <w:t>
      3. Проектирование общих процессов осуществляется исходя из следующих принципов:</w:t>
      </w:r>
      <w:r>
        <w:br/>
      </w:r>
      <w:r>
        <w:rPr>
          <w:rFonts w:ascii="Times New Roman"/>
          <w:b w:val="false"/>
          <w:i w:val="false"/>
          <w:color w:val="000000"/>
          <w:sz w:val="28"/>
        </w:rPr>
        <w:t>
      а) принцип системного анализа содержания общего процесса, который предполагает проведение всестороннего и полного исследования входящих в состав общего процесса операций и процедур – их функционального содержания и значения, регламентации в международных договорах и актах, составляющих право Союза, в законодательстве государств – членов Союза (далее – государства-члены);</w:t>
      </w:r>
      <w:r>
        <w:br/>
      </w:r>
      <w:r>
        <w:rPr>
          <w:rFonts w:ascii="Times New Roman"/>
          <w:b w:val="false"/>
          <w:i w:val="false"/>
          <w:color w:val="000000"/>
          <w:sz w:val="28"/>
        </w:rPr>
        <w:t>
      б) принцип использования международных стандартов, технологий и решений в области электронного обмена данными, который предполагает следующее:</w:t>
      </w:r>
      <w:r>
        <w:br/>
      </w:r>
      <w:r>
        <w:rPr>
          <w:rFonts w:ascii="Times New Roman"/>
          <w:b w:val="false"/>
          <w:i w:val="false"/>
          <w:color w:val="000000"/>
          <w:sz w:val="28"/>
        </w:rPr>
        <w:t>
      модель общих процессов разрабатывается с учетом рекомендаций Европейской экономической комиссии ООН по упрощению процедур международной торговли, созданию механизма «единого окна», упрощению и стандартизации данных для международной торговли;</w:t>
      </w:r>
      <w:r>
        <w:br/>
      </w:r>
      <w:r>
        <w:rPr>
          <w:rFonts w:ascii="Times New Roman"/>
          <w:b w:val="false"/>
          <w:i w:val="false"/>
          <w:color w:val="000000"/>
          <w:sz w:val="28"/>
        </w:rPr>
        <w:t>
      модель данных разрабатывается с учетом международных стандартов, в том числе ИСО/МЭК 11179 «Информационная технология. Регистры метаданных (РМД)», ИСО 15000-5 «Расширяемый язык маркировки деловой информации (ebXML).Часть 5. Техническое описание основных компонентов ebXML, версия 2.01 (ebCCTS)», а также с учетом опыта Всемирной таможенной организации в сфере создания и развития модели данных Всемирной таможенной организации;</w:t>
      </w:r>
      <w:r>
        <w:br/>
      </w:r>
      <w:r>
        <w:rPr>
          <w:rFonts w:ascii="Times New Roman"/>
          <w:b w:val="false"/>
          <w:i w:val="false"/>
          <w:color w:val="000000"/>
          <w:sz w:val="28"/>
        </w:rPr>
        <w:t>
      модель взаимодействия в рамках общего процесса разрабатывается с учетом методологии моделирования Европейской экономической комиссии ООН, версия 2.0 (UMM);</w:t>
      </w:r>
      <w:r>
        <w:br/>
      </w:r>
      <w:r>
        <w:rPr>
          <w:rFonts w:ascii="Times New Roman"/>
          <w:b w:val="false"/>
          <w:i w:val="false"/>
          <w:color w:val="000000"/>
          <w:sz w:val="28"/>
        </w:rPr>
        <w:t>
      в) принцип использования модельно-ориентированного подхода, который предполагает создание модели взаимодействия в рамках общего процесса как основы для формирования в автоматизированном режиме максимально полного комплекта технологических документов общего процесса, описания моделей данных предметных областей, описания базисной модели данных, базисной модели взаимодействия, описания реестра структур электронных документов и сведений, XML-схем для структур электронных документов и сведений;</w:t>
      </w:r>
      <w:r>
        <w:br/>
      </w:r>
      <w:r>
        <w:rPr>
          <w:rFonts w:ascii="Times New Roman"/>
          <w:b w:val="false"/>
          <w:i w:val="false"/>
          <w:color w:val="000000"/>
          <w:sz w:val="28"/>
        </w:rPr>
        <w:t>
      г) принцип гармонизации, который предполагает предварительную классификацию (кластеризацию) общих процессов и проектирование общего процесса исходя из гармонизированного с другими общими процессами, включенными в один кластер, перечня операций и процедур общего процесса, моделей взаимодействия в рамках общих процессов и обеспечивает сопоставимый, сходный и согласованный порядок реализации общих процессов;</w:t>
      </w:r>
      <w:r>
        <w:br/>
      </w:r>
      <w:r>
        <w:rPr>
          <w:rFonts w:ascii="Times New Roman"/>
          <w:b w:val="false"/>
          <w:i w:val="false"/>
          <w:color w:val="000000"/>
          <w:sz w:val="28"/>
        </w:rPr>
        <w:t>
      д) принцип унификации и стандартизации требований к данным и процедурам, который предполагает создание типовых структур электронных документов и сведений, форматов данных, технологических документов общего процесса для упорядоченного и единообразного использования объектов модели общих процессов;</w:t>
      </w:r>
      <w:r>
        <w:br/>
      </w:r>
      <w:r>
        <w:rPr>
          <w:rFonts w:ascii="Times New Roman"/>
          <w:b w:val="false"/>
          <w:i w:val="false"/>
          <w:color w:val="000000"/>
          <w:sz w:val="28"/>
        </w:rPr>
        <w:t>
      е) принцип автономности бизнес-процессов, реализуемых в рамках информационных систем участников информационного взаимодействия, который предполагает, что проектирование общих процессов направлено исключительно на спецификацию требований к информационному взаимодействию и регламентацию действий участников общего процесса в объеме, необходимом и достаточном для реализации указанного взаимодействия в соответствии с международными договорами и актами, составляющими право Союза;</w:t>
      </w:r>
      <w:r>
        <w:br/>
      </w:r>
      <w:r>
        <w:rPr>
          <w:rFonts w:ascii="Times New Roman"/>
          <w:b w:val="false"/>
          <w:i w:val="false"/>
          <w:color w:val="000000"/>
          <w:sz w:val="28"/>
        </w:rPr>
        <w:t>
      ж) принцип ориентации на обмен данными, который предполагает, что объектом проектирования является электронный обмен данными, а не документами;</w:t>
      </w:r>
      <w:r>
        <w:br/>
      </w:r>
      <w:r>
        <w:rPr>
          <w:rFonts w:ascii="Times New Roman"/>
          <w:b w:val="false"/>
          <w:i w:val="false"/>
          <w:color w:val="000000"/>
          <w:sz w:val="28"/>
        </w:rPr>
        <w:t>
      з) принцип обеспечения участия в проектировании общего процесса всех участников общего процесса, который предполагает привлечение к разработке модели взаимодействия в рамках общего процесса специалистов в области информационных технологий и экспертов в соответствующих предметных областях.</w:t>
      </w:r>
      <w:r>
        <w:br/>
      </w:r>
      <w:r>
        <w:rPr>
          <w:rFonts w:ascii="Times New Roman"/>
          <w:b w:val="false"/>
          <w:i w:val="false"/>
          <w:color w:val="000000"/>
          <w:sz w:val="28"/>
        </w:rPr>
        <w:t>
</w:t>
      </w:r>
      <w:r>
        <w:rPr>
          <w:rFonts w:ascii="Times New Roman"/>
          <w:b w:val="false"/>
          <w:i w:val="false"/>
          <w:color w:val="000000"/>
          <w:sz w:val="28"/>
        </w:rPr>
        <w:t>
      4. Комплекс работ по проектированию общего процесса включает моделирование и документирование общего процесса, результатом которых является формализованное описание общего процесса, необходимое для реализации информационного взаимодействия в рамках данного общего процесса.</w:t>
      </w:r>
      <w:r>
        <w:br/>
      </w:r>
      <w:r>
        <w:rPr>
          <w:rFonts w:ascii="Times New Roman"/>
          <w:b w:val="false"/>
          <w:i w:val="false"/>
          <w:color w:val="000000"/>
          <w:sz w:val="28"/>
        </w:rPr>
        <w:t>
</w:t>
      </w:r>
      <w:r>
        <w:rPr>
          <w:rFonts w:ascii="Times New Roman"/>
          <w:b w:val="false"/>
          <w:i w:val="false"/>
          <w:color w:val="000000"/>
          <w:sz w:val="28"/>
        </w:rPr>
        <w:t>
      5. Моделированию и документированию общего процесса предшествуют следующие этапы:</w:t>
      </w:r>
      <w:r>
        <w:br/>
      </w:r>
      <w:r>
        <w:rPr>
          <w:rFonts w:ascii="Times New Roman"/>
          <w:b w:val="false"/>
          <w:i w:val="false"/>
          <w:color w:val="000000"/>
          <w:sz w:val="28"/>
        </w:rPr>
        <w:t>
      а) анализ операций и процедур, входящих в состав общего процесса;</w:t>
      </w:r>
      <w:r>
        <w:br/>
      </w:r>
      <w:r>
        <w:rPr>
          <w:rFonts w:ascii="Times New Roman"/>
          <w:b w:val="false"/>
          <w:i w:val="false"/>
          <w:color w:val="000000"/>
          <w:sz w:val="28"/>
        </w:rPr>
        <w:t>
      б) разработка концепции реализации общего процесса.</w:t>
      </w:r>
      <w:r>
        <w:br/>
      </w:r>
      <w:r>
        <w:rPr>
          <w:rFonts w:ascii="Times New Roman"/>
          <w:b w:val="false"/>
          <w:i w:val="false"/>
          <w:color w:val="000000"/>
          <w:sz w:val="28"/>
        </w:rPr>
        <w:t>
</w:t>
      </w:r>
      <w:r>
        <w:rPr>
          <w:rFonts w:ascii="Times New Roman"/>
          <w:b w:val="false"/>
          <w:i w:val="false"/>
          <w:color w:val="000000"/>
          <w:sz w:val="28"/>
        </w:rPr>
        <w:t>
      6. Анализ операций и процедур, входящих в состав проектируемого общего процесса, начинается с определения наименования общего процесса в соответствии с утверждаемым Евразийской экономической комиссией (далее – Комиссия) перечнем общих процессов в рамках Союза. В ходе анализа для целей описания структуры общего процесса и формирования перечня операций и процедур, входящих в состав общего процесса, исследуются положения международных договоров и актов, составляющих право Союза, а также принятых в их исполнение актов законодательства государств-членов, предусматривающих совершение Комиссией, уполномоченными органами государств-членов, юридическими и физическими лицами действий (в том числе с информацией) в рамках возложенных на них обязанностей и (или) предоставленных прав.</w:t>
      </w:r>
      <w:r>
        <w:br/>
      </w:r>
      <w:r>
        <w:rPr>
          <w:rFonts w:ascii="Times New Roman"/>
          <w:b w:val="false"/>
          <w:i w:val="false"/>
          <w:color w:val="000000"/>
          <w:sz w:val="28"/>
        </w:rPr>
        <w:t>
</w:t>
      </w:r>
      <w:r>
        <w:rPr>
          <w:rFonts w:ascii="Times New Roman"/>
          <w:b w:val="false"/>
          <w:i w:val="false"/>
          <w:color w:val="000000"/>
          <w:sz w:val="28"/>
        </w:rPr>
        <w:t>
      7. На основе результатов анализа операций и процедур, входящих в состав общего процесса, разрабатывается концепция реализации общего процесса, в которой описывается структура общего процесса, определяются его участники, цели реализации общего процесса и способы их достижения, приводятся перечень операций и процедур, сгруппированных по своему назначению, схематическое изображение выполнения операций и процедур (групп операций и процедур), перечень информационных объектов общего процесса, план реализации общего процесса с указанием сроков и основных мероприятий.</w:t>
      </w:r>
      <w:r>
        <w:br/>
      </w:r>
      <w:r>
        <w:rPr>
          <w:rFonts w:ascii="Times New Roman"/>
          <w:b w:val="false"/>
          <w:i w:val="false"/>
          <w:color w:val="000000"/>
          <w:sz w:val="28"/>
        </w:rPr>
        <w:t>
</w:t>
      </w:r>
      <w:r>
        <w:rPr>
          <w:rFonts w:ascii="Times New Roman"/>
          <w:b w:val="false"/>
          <w:i w:val="false"/>
          <w:color w:val="000000"/>
          <w:sz w:val="28"/>
        </w:rPr>
        <w:t>
      8. Моделирование общего процесса представляет собой построение модели взаимодействия в рамках общего процесса, для чего на основе концепции реализации общего процесса, указанной в </w:t>
      </w:r>
      <w:r>
        <w:rPr>
          <w:rFonts w:ascii="Times New Roman"/>
          <w:b w:val="false"/>
          <w:i w:val="false"/>
          <w:color w:val="000000"/>
          <w:sz w:val="28"/>
        </w:rPr>
        <w:t>пункте 7</w:t>
      </w:r>
      <w:r>
        <w:rPr>
          <w:rFonts w:ascii="Times New Roman"/>
          <w:b w:val="false"/>
          <w:i w:val="false"/>
          <w:color w:val="000000"/>
          <w:sz w:val="28"/>
        </w:rPr>
        <w:t xml:space="preserve"> настоящей Методики, формируется система взаимосвязанных фактов и понятий, предназначенная для описания и реализации общего процесса с учетом требований его оптимизации и гармонизации.</w:t>
      </w:r>
      <w:r>
        <w:br/>
      </w:r>
      <w:r>
        <w:rPr>
          <w:rFonts w:ascii="Times New Roman"/>
          <w:b w:val="false"/>
          <w:i w:val="false"/>
          <w:color w:val="000000"/>
          <w:sz w:val="28"/>
        </w:rPr>
        <w:t>
      Результатом этапа проектирования общих процессов является модель общих процессов.</w:t>
      </w:r>
      <w:r>
        <w:br/>
      </w:r>
      <w:r>
        <w:rPr>
          <w:rFonts w:ascii="Times New Roman"/>
          <w:b w:val="false"/>
          <w:i w:val="false"/>
          <w:color w:val="000000"/>
          <w:sz w:val="28"/>
        </w:rPr>
        <w:t>
      Модель общих процессов разрабатывается как синтаксически и технологически нейтральная, применимая в качестве основы для формирования в автоматизированном режиме комплекта документов, содержащих описания общих процессов и модели данных.</w:t>
      </w:r>
      <w:r>
        <w:br/>
      </w:r>
      <w:r>
        <w:rPr>
          <w:rFonts w:ascii="Times New Roman"/>
          <w:b w:val="false"/>
          <w:i w:val="false"/>
          <w:color w:val="000000"/>
          <w:sz w:val="28"/>
        </w:rPr>
        <w:t>
      Применение модели общих процессов обеспечивает как согласованность технологических документов общего процесса, входящих в состав формируемого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комплекта, так и их согласованность с технологическими документами иных общих процессов в рамках Союза.</w:t>
      </w:r>
      <w:r>
        <w:br/>
      </w:r>
      <w:r>
        <w:rPr>
          <w:rFonts w:ascii="Times New Roman"/>
          <w:b w:val="false"/>
          <w:i w:val="false"/>
          <w:color w:val="000000"/>
          <w:sz w:val="28"/>
        </w:rPr>
        <w:t>
</w:t>
      </w:r>
      <w:r>
        <w:rPr>
          <w:rFonts w:ascii="Times New Roman"/>
          <w:b w:val="false"/>
          <w:i w:val="false"/>
          <w:color w:val="000000"/>
          <w:sz w:val="28"/>
        </w:rPr>
        <w:t>
      9. Документирование общего процесса предусматривает:</w:t>
      </w:r>
      <w:r>
        <w:br/>
      </w:r>
      <w:r>
        <w:rPr>
          <w:rFonts w:ascii="Times New Roman"/>
          <w:b w:val="false"/>
          <w:i w:val="false"/>
          <w:color w:val="000000"/>
          <w:sz w:val="28"/>
        </w:rPr>
        <w:t>
      а) подготовку проектов технологических документов общего процесса в соответствии с типовым перечнем технологических документов, регламентирующих взаимодействие при реализации средствами интегрированной информационной системы внешней и взаимной торговли общих процессов, определенным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w:t>
      </w:r>
      <w:r>
        <w:br/>
      </w:r>
      <w:r>
        <w:rPr>
          <w:rFonts w:ascii="Times New Roman"/>
          <w:b w:val="false"/>
          <w:i w:val="false"/>
          <w:color w:val="000000"/>
          <w:sz w:val="28"/>
        </w:rPr>
        <w:t>
      б) согласование с уполномоченными органами государств-членов сформированных в комплект проектов технологических документов общего процесса;</w:t>
      </w:r>
      <w:r>
        <w:br/>
      </w:r>
      <w:r>
        <w:rPr>
          <w:rFonts w:ascii="Times New Roman"/>
          <w:b w:val="false"/>
          <w:i w:val="false"/>
          <w:color w:val="000000"/>
          <w:sz w:val="28"/>
        </w:rPr>
        <w:t>
      в) принятие решения Комиссии об утверждении технологических документов общего процесса.</w:t>
      </w:r>
    </w:p>
    <w:bookmarkEnd w:id="6"/>
    <w:bookmarkStart w:name="z18" w:id="7"/>
    <w:p>
      <w:pPr>
        <w:spacing w:after="0"/>
        <w:ind w:left="0"/>
        <w:jc w:val="left"/>
      </w:pPr>
      <w:r>
        <w:rPr>
          <w:rFonts w:ascii="Times New Roman"/>
          <w:b/>
          <w:i w:val="false"/>
          <w:color w:val="000000"/>
        </w:rPr>
        <w:t xml:space="preserve"> 
III. Общие технические требования</w:t>
      </w:r>
      <w:r>
        <w:br/>
      </w:r>
      <w:r>
        <w:rPr>
          <w:rFonts w:ascii="Times New Roman"/>
          <w:b/>
          <w:i w:val="false"/>
          <w:color w:val="000000"/>
        </w:rPr>
        <w:t>
к технологическим документам общего процесса</w:t>
      </w:r>
    </w:p>
    <w:bookmarkEnd w:id="7"/>
    <w:bookmarkStart w:name="z19" w:id="8"/>
    <w:p>
      <w:pPr>
        <w:spacing w:after="0"/>
        <w:ind w:left="0"/>
        <w:jc w:val="both"/>
      </w:pPr>
      <w:r>
        <w:rPr>
          <w:rFonts w:ascii="Times New Roman"/>
          <w:b w:val="false"/>
          <w:i w:val="false"/>
          <w:color w:val="000000"/>
          <w:sz w:val="28"/>
        </w:rPr>
        <w:t>
      10. Проекты технологических документов общего процесса оформляются в соответствии с правилами внутреннего документооборота в Евразийской экономической комиссии с учетом требований к оформлению отдельных положений (разделов, подразделов, пунктов, таблиц и рисунков), установленных настоящей Методикой.</w:t>
      </w:r>
      <w:r>
        <w:br/>
      </w:r>
      <w:r>
        <w:rPr>
          <w:rFonts w:ascii="Times New Roman"/>
          <w:b w:val="false"/>
          <w:i w:val="false"/>
          <w:color w:val="000000"/>
          <w:sz w:val="28"/>
        </w:rPr>
        <w:t>
</w:t>
      </w:r>
      <w:r>
        <w:rPr>
          <w:rFonts w:ascii="Times New Roman"/>
          <w:b w:val="false"/>
          <w:i w:val="false"/>
          <w:color w:val="000000"/>
          <w:sz w:val="28"/>
        </w:rPr>
        <w:t>
      11. Технологические документы общего процесса утверждаются решением Комиссии.</w:t>
      </w:r>
    </w:p>
    <w:bookmarkEnd w:id="8"/>
    <w:bookmarkStart w:name="z21" w:id="9"/>
    <w:p>
      <w:pPr>
        <w:spacing w:after="0"/>
        <w:ind w:left="0"/>
        <w:jc w:val="both"/>
      </w:pPr>
      <w:r>
        <w:rPr>
          <w:rFonts w:ascii="Times New Roman"/>
          <w:b w:val="false"/>
          <w:i w:val="false"/>
          <w:color w:val="000000"/>
          <w:sz w:val="28"/>
        </w:rPr>
        <w:t>
1. Требования к разделу «Общие положения»</w:t>
      </w:r>
    </w:p>
    <w:bookmarkEnd w:id="9"/>
    <w:bookmarkStart w:name="z22" w:id="10"/>
    <w:p>
      <w:pPr>
        <w:spacing w:after="0"/>
        <w:ind w:left="0"/>
        <w:jc w:val="both"/>
      </w:pPr>
      <w:r>
        <w:rPr>
          <w:rFonts w:ascii="Times New Roman"/>
          <w:b w:val="false"/>
          <w:i w:val="false"/>
          <w:color w:val="000000"/>
          <w:sz w:val="28"/>
        </w:rPr>
        <w:t>
      12. В разделе приводятся сведения о нормативных правовых актах, в соответствии с которыми разработан технологический документ.</w:t>
      </w:r>
      <w:r>
        <w:br/>
      </w:r>
      <w:r>
        <w:rPr>
          <w:rFonts w:ascii="Times New Roman"/>
          <w:b w:val="false"/>
          <w:i w:val="false"/>
          <w:color w:val="000000"/>
          <w:sz w:val="28"/>
        </w:rPr>
        <w:t>
      Ссылки на нормативные правовые акты приводятся с целью обоснования необходимости разработки технологического документа, а также обеспечения полноты учета регламентации операций и процедур, составляющих общий процесс, предусматриваемой (устанавливаемой)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13. В ссылке на нормативный правовой акт должны указываться реквизиты в следующей последовательности: вид акта (международный договор, решение органа Союза), дата его подписания, регистрационный номер и наименование акта. Например:</w:t>
      </w:r>
    </w:p>
    <w:bookmarkEnd w:id="10"/>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Решение Совета Евразийской экономической комиссии от _______ 2015 г. № _ «Об утверждении перечня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Решение Коллегии Евразийской экономической комиссии от ______ 2015 г. № _ «О Методике анализа, оптимизации, гармонизации и описания общих процессов в рамках Евразийского экономического союза».</w:t>
      </w:r>
    </w:p>
    <w:bookmarkStart w:name="z24" w:id="11"/>
    <w:p>
      <w:pPr>
        <w:spacing w:after="0"/>
        <w:ind w:left="0"/>
        <w:jc w:val="both"/>
      </w:pPr>
      <w:r>
        <w:rPr>
          <w:rFonts w:ascii="Times New Roman"/>
          <w:b w:val="false"/>
          <w:i w:val="false"/>
          <w:color w:val="000000"/>
          <w:sz w:val="28"/>
        </w:rPr>
        <w:t>
      14. Если на указываемые в разделе нормативные правовые акты в тексте технологического документа будут даваться неоднократные ссылки, при первом его упоминании вводится сокращение по следующей форме:</w:t>
      </w:r>
    </w:p>
    <w:bookmarkEnd w:id="11"/>
    <w:p>
      <w:pPr>
        <w:spacing w:after="0"/>
        <w:ind w:left="0"/>
        <w:jc w:val="both"/>
      </w:pP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(далее – Договор о Союзе).</w:t>
      </w:r>
    </w:p>
    <w:bookmarkStart w:name="z25" w:id="12"/>
    <w:p>
      <w:pPr>
        <w:spacing w:after="0"/>
        <w:ind w:left="0"/>
        <w:jc w:val="both"/>
      </w:pPr>
      <w:r>
        <w:rPr>
          <w:rFonts w:ascii="Times New Roman"/>
          <w:b w:val="false"/>
          <w:i w:val="false"/>
          <w:color w:val="000000"/>
          <w:sz w:val="28"/>
        </w:rPr>
        <w:t>
2. Требования к разделу «Область применения»</w:t>
      </w:r>
    </w:p>
    <w:bookmarkEnd w:id="12"/>
    <w:bookmarkStart w:name="z26" w:id="13"/>
    <w:p>
      <w:pPr>
        <w:spacing w:after="0"/>
        <w:ind w:left="0"/>
        <w:jc w:val="both"/>
      </w:pPr>
      <w:r>
        <w:rPr>
          <w:rFonts w:ascii="Times New Roman"/>
          <w:b w:val="false"/>
          <w:i w:val="false"/>
          <w:color w:val="000000"/>
          <w:sz w:val="28"/>
        </w:rPr>
        <w:t>
      15. В разделе приводятся сведения о назначении технологического документа и области его применения.</w:t>
      </w:r>
      <w:r>
        <w:br/>
      </w:r>
      <w:r>
        <w:rPr>
          <w:rFonts w:ascii="Times New Roman"/>
          <w:b w:val="false"/>
          <w:i w:val="false"/>
          <w:color w:val="000000"/>
          <w:sz w:val="28"/>
        </w:rPr>
        <w:t>
</w:t>
      </w:r>
      <w:r>
        <w:rPr>
          <w:rFonts w:ascii="Times New Roman"/>
          <w:b w:val="false"/>
          <w:i w:val="false"/>
          <w:color w:val="000000"/>
          <w:sz w:val="28"/>
        </w:rPr>
        <w:t>
      16. Назначение технологического документа определяется посредством указания цели его разработки или краткой характеристики его содержания. Например:</w:t>
      </w:r>
    </w:p>
    <w:bookmarkEnd w:id="13"/>
    <w:p>
      <w:pPr>
        <w:spacing w:after="0"/>
        <w:ind w:left="0"/>
        <w:jc w:val="both"/>
      </w:pPr>
      <w:r>
        <w:rPr>
          <w:rFonts w:ascii="Times New Roman"/>
          <w:b w:val="false"/>
          <w:i w:val="false"/>
          <w:color w:val="000000"/>
          <w:sz w:val="28"/>
        </w:rPr>
        <w:t>      Настоящие Правила разработаны в целях определения порядка и условий информационного взаимодействия между участниками общего процесса «Регистрация и использование заявок на получение права на территориях государств – членов Евразийского экономического союза» (далее – общий процесс), включая описание процедур, выполняемых в рамках этого общего процесса.</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      Настоящий Регламент определяет требования к порядку и условиям выполнения операций, непосредственно направленных на реализацию информационного взаимодействия между участниками общего процесса «Регистрация и использование заявок на получение права на территориях государств – членов Евразийского экономического союза» (далее – общий процесс).</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«Регистрация и использование заявок на получение права на территориях государств – членов Евразийского экономического союза» (далее – общий процесс).</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      Настоящий Порядок определяет требования к информационному взаимодействию при присоединении к общему процессу «Регистрация и использование заявок на получение права на территориях государств – членов Евразийского экономического союза» (далее – общий процесс) нового участника.</w:t>
      </w:r>
    </w:p>
    <w:p>
      <w:pPr>
        <w:spacing w:after="0"/>
        <w:ind w:left="0"/>
        <w:jc w:val="both"/>
      </w:pPr>
      <w:r>
        <w:rPr>
          <w:rFonts w:ascii="Times New Roman"/>
          <w:b w:val="false"/>
          <w:i w:val="false"/>
          <w:color w:val="000000"/>
          <w:sz w:val="28"/>
        </w:rPr>
        <w:t>      В пункте может приводиться уточнение назначения технологического документа. Например:</w:t>
      </w:r>
    </w:p>
    <w:p>
      <w:pPr>
        <w:spacing w:after="0"/>
        <w:ind w:left="0"/>
        <w:jc w:val="both"/>
      </w:pPr>
      <w:r>
        <w:rPr>
          <w:rFonts w:ascii="Times New Roman"/>
          <w:b w:val="false"/>
          <w:i w:val="false"/>
          <w:color w:val="000000"/>
          <w:sz w:val="28"/>
        </w:rPr>
        <w:t>      Структуры электронных документов и сведений состоят из элементов данных, которые описаны в базисной модели данных и моделях данных предметных областей.</w:t>
      </w:r>
    </w:p>
    <w:bookmarkStart w:name="z28" w:id="14"/>
    <w:p>
      <w:pPr>
        <w:spacing w:after="0"/>
        <w:ind w:left="0"/>
        <w:jc w:val="both"/>
      </w:pPr>
      <w:r>
        <w:rPr>
          <w:rFonts w:ascii="Times New Roman"/>
          <w:b w:val="false"/>
          <w:i w:val="false"/>
          <w:color w:val="000000"/>
          <w:sz w:val="28"/>
        </w:rPr>
        <w:t>
      17. Область применения технологического документа определяется указанием на отношения, на которые распространяется его действие. Например:</w:t>
      </w:r>
    </w:p>
    <w:bookmarkEnd w:id="14"/>
    <w:p>
      <w:pPr>
        <w:spacing w:after="0"/>
        <w:ind w:left="0"/>
        <w:jc w:val="both"/>
      </w:pPr>
      <w:r>
        <w:rPr>
          <w:rFonts w:ascii="Times New Roman"/>
          <w:b w:val="false"/>
          <w:i w:val="false"/>
          <w:color w:val="000000"/>
          <w:sz w:val="28"/>
        </w:rPr>
        <w:t>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системы внешней и взаимной торговли (далее – интегрированная система).</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      Настоящий Порядок применяется при присоединении нового участника к общему процессу однократно перед началом оперативной деятельности нового участника.</w:t>
      </w:r>
    </w:p>
    <w:p>
      <w:pPr>
        <w:spacing w:after="0"/>
        <w:ind w:left="0"/>
        <w:jc w:val="both"/>
      </w:pPr>
      <w:r>
        <w:rPr>
          <w:rFonts w:ascii="Times New Roman"/>
          <w:b w:val="false"/>
          <w:i w:val="false"/>
          <w:color w:val="000000"/>
          <w:sz w:val="28"/>
        </w:rPr>
        <w:t>      Если область применения технологического документа характеризуется особенностями (особыми обстоятельствами или условиями реализации общественных отношений, субъектными составами), в разделе могут приводиться дополнительные положения. Например:</w:t>
      </w:r>
    </w:p>
    <w:p>
      <w:pPr>
        <w:spacing w:after="0"/>
        <w:ind w:left="0"/>
        <w:jc w:val="both"/>
      </w:pPr>
      <w:r>
        <w:rPr>
          <w:rFonts w:ascii="Times New Roman"/>
          <w:b w:val="false"/>
          <w:i w:val="false"/>
          <w:color w:val="000000"/>
          <w:sz w:val="28"/>
        </w:rPr>
        <w:t>      Описание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В таблице описывается однозначное соответствие реквизитов электронных документов и сведений (далее – реквизиты) и элементов данных.</w:t>
      </w:r>
      <w:r>
        <w:br/>
      </w:r>
      <w:r>
        <w:rPr>
          <w:rFonts w:ascii="Times New Roman"/>
          <w:b w:val="false"/>
          <w:i w:val="false"/>
          <w:color w:val="000000"/>
          <w:sz w:val="28"/>
        </w:rPr>
        <w:t>
      В таблице формируются следующие поля (графы):</w:t>
      </w:r>
      <w:r>
        <w:br/>
      </w:r>
      <w:r>
        <w:rPr>
          <w:rFonts w:ascii="Times New Roman"/>
          <w:b w:val="false"/>
          <w:i w:val="false"/>
          <w:color w:val="000000"/>
          <w:sz w:val="28"/>
        </w:rPr>
        <w:t>
      «иерархический номер» – порядковый номер реквизита;</w:t>
      </w:r>
      <w:r>
        <w:br/>
      </w:r>
      <w:r>
        <w:rPr>
          <w:rFonts w:ascii="Times New Roman"/>
          <w:b w:val="false"/>
          <w:i w:val="false"/>
          <w:color w:val="000000"/>
          <w:sz w:val="28"/>
        </w:rPr>
        <w:t>
      «имя реквизита» – устоявшееся или официальное словесное обозначение реквизита;</w:t>
      </w:r>
      <w:r>
        <w:br/>
      </w:r>
      <w:r>
        <w:rPr>
          <w:rFonts w:ascii="Times New Roman"/>
          <w:b w:val="false"/>
          <w:i w:val="false"/>
          <w:color w:val="000000"/>
          <w:sz w:val="28"/>
        </w:rPr>
        <w:t>
      «описание реквизита» – текст, поясняющий смысл (семантику) реквизита;</w:t>
      </w:r>
      <w:r>
        <w:br/>
      </w:r>
      <w:r>
        <w:rPr>
          <w:rFonts w:ascii="Times New Roman"/>
          <w:b w:val="false"/>
          <w:i w:val="false"/>
          <w:color w:val="000000"/>
          <w:sz w:val="28"/>
        </w:rPr>
        <w:t>
      «идентификатор»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«область значений» – словесное описание возможных значений реквизита;</w:t>
      </w:r>
      <w:r>
        <w:br/>
      </w: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Для указания множественности реквизитов используются следующие обозначения:</w:t>
      </w:r>
      <w:r>
        <w:br/>
      </w:r>
      <w:r>
        <w:rPr>
          <w:rFonts w:ascii="Times New Roman"/>
          <w:b w:val="false"/>
          <w:i w:val="false"/>
          <w:color w:val="000000"/>
          <w:sz w:val="28"/>
        </w:rPr>
        <w:t>
      1 – реквизит обязателен, повторения не допускаются;</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n..* – реквизит обязателен, должен повторяться не менее n раз (n &gt; 1);</w:t>
      </w:r>
      <w:r>
        <w:br/>
      </w:r>
      <w:r>
        <w:rPr>
          <w:rFonts w:ascii="Times New Roman"/>
          <w:b w:val="false"/>
          <w:i w:val="false"/>
          <w:color w:val="000000"/>
          <w:sz w:val="28"/>
        </w:rPr>
        <w:t>
      n..m – реквизит обязателен, должен повторяться не менее n раз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0..m – реквизит опционален, может повторяться не более m раз (m &gt; 1).</w:t>
      </w:r>
    </w:p>
    <w:bookmarkStart w:name="z29" w:id="15"/>
    <w:p>
      <w:pPr>
        <w:spacing w:after="0"/>
        <w:ind w:left="0"/>
        <w:jc w:val="both"/>
      </w:pPr>
      <w:r>
        <w:rPr>
          <w:rFonts w:ascii="Times New Roman"/>
          <w:b w:val="false"/>
          <w:i w:val="false"/>
          <w:color w:val="000000"/>
          <w:sz w:val="28"/>
        </w:rPr>
        <w:t>
3. Требования к разделу «Основные понятия»</w:t>
      </w:r>
    </w:p>
    <w:bookmarkEnd w:id="15"/>
    <w:bookmarkStart w:name="z30" w:id="16"/>
    <w:p>
      <w:pPr>
        <w:spacing w:after="0"/>
        <w:ind w:left="0"/>
        <w:jc w:val="both"/>
      </w:pPr>
      <w:r>
        <w:rPr>
          <w:rFonts w:ascii="Times New Roman"/>
          <w:b w:val="false"/>
          <w:i w:val="false"/>
          <w:color w:val="000000"/>
          <w:sz w:val="28"/>
        </w:rPr>
        <w:t>
      18. В разделе приводятся основные понятия, используемые в технологическом документе, и их определения.</w:t>
      </w:r>
      <w:r>
        <w:br/>
      </w:r>
      <w:r>
        <w:rPr>
          <w:rFonts w:ascii="Times New Roman"/>
          <w:b w:val="false"/>
          <w:i w:val="false"/>
          <w:color w:val="000000"/>
          <w:sz w:val="28"/>
        </w:rPr>
        <w:t>
</w:t>
      </w:r>
      <w:r>
        <w:rPr>
          <w:rFonts w:ascii="Times New Roman"/>
          <w:b w:val="false"/>
          <w:i w:val="false"/>
          <w:color w:val="000000"/>
          <w:sz w:val="28"/>
        </w:rPr>
        <w:t>
      19. В технологическом документе целесообразно давать определения специальным и малоизвестным понятиям, а также понятиям, которые в других группах общественных отношений применяются в иных значениях, не совпадающих со значением, которое придается им в технологическом документе.</w:t>
      </w:r>
      <w:r>
        <w:br/>
      </w:r>
      <w:r>
        <w:rPr>
          <w:rFonts w:ascii="Times New Roman"/>
          <w:b w:val="false"/>
          <w:i w:val="false"/>
          <w:color w:val="000000"/>
          <w:sz w:val="28"/>
        </w:rPr>
        <w:t>
      Используемые в технологическом документе технические термины и их значения должны соответствовать терминам и их значениям, применяемым в международных стандартах, технологиях и решениях в области электронного обмена данными, применение которых рекомендовано Комиссией либо установлено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20. При формировании понятийного аппарата в рамках одного комплекта технологических документов общего процесса выполняются следующие требования:</w:t>
      </w:r>
      <w:r>
        <w:br/>
      </w:r>
      <w:r>
        <w:rPr>
          <w:rFonts w:ascii="Times New Roman"/>
          <w:b w:val="false"/>
          <w:i w:val="false"/>
          <w:color w:val="000000"/>
          <w:sz w:val="28"/>
        </w:rPr>
        <w:t>
      если указанные в </w:t>
      </w:r>
      <w:r>
        <w:rPr>
          <w:rFonts w:ascii="Times New Roman"/>
          <w:b w:val="false"/>
          <w:i w:val="false"/>
          <w:color w:val="000000"/>
          <w:sz w:val="28"/>
        </w:rPr>
        <w:t>пункте 19</w:t>
      </w:r>
      <w:r>
        <w:rPr>
          <w:rFonts w:ascii="Times New Roman"/>
          <w:b w:val="false"/>
          <w:i w:val="false"/>
          <w:color w:val="000000"/>
          <w:sz w:val="28"/>
        </w:rPr>
        <w:t xml:space="preserve"> настоящей Методики понятия используются в 2 и более технологических документах, их определения приводятся в правилах информационного взаимодействия при реализации средствами интегрированной системы общего процесса (далее – правила информационного взаимодействия). При этом в других технологических документах, в которых используются эти понятия, даются ссылки на пункт правил информационного взаимодействия, содержащий определения указанных понятий;</w:t>
      </w:r>
      <w:r>
        <w:br/>
      </w:r>
      <w:r>
        <w:rPr>
          <w:rFonts w:ascii="Times New Roman"/>
          <w:b w:val="false"/>
          <w:i w:val="false"/>
          <w:color w:val="000000"/>
          <w:sz w:val="28"/>
        </w:rPr>
        <w:t>
      если указанные в </w:t>
      </w:r>
      <w:r>
        <w:rPr>
          <w:rFonts w:ascii="Times New Roman"/>
          <w:b w:val="false"/>
          <w:i w:val="false"/>
          <w:color w:val="000000"/>
          <w:sz w:val="28"/>
        </w:rPr>
        <w:t>пункте 19</w:t>
      </w:r>
      <w:r>
        <w:rPr>
          <w:rFonts w:ascii="Times New Roman"/>
          <w:b w:val="false"/>
          <w:i w:val="false"/>
          <w:color w:val="000000"/>
          <w:sz w:val="28"/>
        </w:rPr>
        <w:t xml:space="preserve"> настоящей Методики понятия используются только в одном технологическом документе, их определения приводятся в данном технологическом документе.</w:t>
      </w:r>
      <w:r>
        <w:br/>
      </w:r>
      <w:r>
        <w:rPr>
          <w:rFonts w:ascii="Times New Roman"/>
          <w:b w:val="false"/>
          <w:i w:val="false"/>
          <w:color w:val="000000"/>
          <w:sz w:val="28"/>
        </w:rPr>
        <w:t>
</w:t>
      </w:r>
      <w:r>
        <w:rPr>
          <w:rFonts w:ascii="Times New Roman"/>
          <w:b w:val="false"/>
          <w:i w:val="false"/>
          <w:color w:val="000000"/>
          <w:sz w:val="28"/>
        </w:rPr>
        <w:t>
      21. В разделе не приводятся используемые в технологическом документе понятия, определения которым даны в нормативных правовых актах высшей или равной юридической силы, указанных в разделе «Общие положения» технологического документа.</w:t>
      </w:r>
      <w:r>
        <w:br/>
      </w:r>
      <w:r>
        <w:rPr>
          <w:rFonts w:ascii="Times New Roman"/>
          <w:b w:val="false"/>
          <w:i w:val="false"/>
          <w:color w:val="000000"/>
          <w:sz w:val="28"/>
        </w:rPr>
        <w:t>
      К таким понятиям относятся, в частности, понятия, указанные в </w:t>
      </w:r>
      <w:r>
        <w:rPr>
          <w:rFonts w:ascii="Times New Roman"/>
          <w:b w:val="false"/>
          <w:i w:val="false"/>
          <w:color w:val="000000"/>
          <w:sz w:val="28"/>
        </w:rPr>
        <w:t>пункте 2</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а также понятия,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Методики.</w:t>
      </w:r>
    </w:p>
    <w:bookmarkEnd w:id="16"/>
    <w:bookmarkStart w:name="z34" w:id="17"/>
    <w:p>
      <w:pPr>
        <w:spacing w:after="0"/>
        <w:ind w:left="0"/>
        <w:jc w:val="left"/>
      </w:pPr>
      <w:r>
        <w:rPr>
          <w:rFonts w:ascii="Times New Roman"/>
          <w:b/>
          <w:i w:val="false"/>
          <w:color w:val="000000"/>
        </w:rPr>
        <w:t xml:space="preserve"> 
IV. Технические требования</w:t>
      </w:r>
      <w:r>
        <w:br/>
      </w:r>
      <w:r>
        <w:rPr>
          <w:rFonts w:ascii="Times New Roman"/>
          <w:b/>
          <w:i w:val="false"/>
          <w:color w:val="000000"/>
        </w:rPr>
        <w:t>
к проектированию и описанию общего процесса</w:t>
      </w:r>
      <w:r>
        <w:br/>
      </w:r>
      <w:r>
        <w:rPr>
          <w:rFonts w:ascii="Times New Roman"/>
          <w:b/>
          <w:i w:val="false"/>
          <w:color w:val="000000"/>
        </w:rPr>
        <w:t>
в правилах информационного взаимодействия</w:t>
      </w:r>
    </w:p>
    <w:bookmarkEnd w:id="17"/>
    <w:bookmarkStart w:name="z35" w:id="18"/>
    <w:p>
      <w:pPr>
        <w:spacing w:after="0"/>
        <w:ind w:left="0"/>
        <w:jc w:val="both"/>
      </w:pPr>
      <w:r>
        <w:rPr>
          <w:rFonts w:ascii="Times New Roman"/>
          <w:b w:val="false"/>
          <w:i w:val="false"/>
          <w:color w:val="000000"/>
          <w:sz w:val="28"/>
        </w:rPr>
        <w:t>
1. Требования к разделу</w:t>
      </w:r>
      <w:r>
        <w:br/>
      </w:r>
      <w:r>
        <w:rPr>
          <w:rFonts w:ascii="Times New Roman"/>
          <w:b w:val="false"/>
          <w:i w:val="false"/>
          <w:color w:val="000000"/>
          <w:sz w:val="28"/>
        </w:rPr>
        <w:t>
«Основные сведения об общем процессе»</w:t>
      </w:r>
    </w:p>
    <w:bookmarkEnd w:id="18"/>
    <w:bookmarkStart w:name="z36" w:id="19"/>
    <w:p>
      <w:pPr>
        <w:spacing w:after="0"/>
        <w:ind w:left="0"/>
        <w:jc w:val="both"/>
      </w:pPr>
      <w:r>
        <w:rPr>
          <w:rFonts w:ascii="Times New Roman"/>
          <w:b w:val="false"/>
          <w:i w:val="false"/>
          <w:color w:val="000000"/>
          <w:sz w:val="28"/>
        </w:rPr>
        <w:t>
      22. В разделе приводится полное наименование общего процесса и вводится его кодовое обозначение, определяются цель (цели) и задачи общего процесса, участники общего процесса, описывается структура общего процесса.</w:t>
      </w:r>
      <w:r>
        <w:br/>
      </w:r>
      <w:r>
        <w:rPr>
          <w:rFonts w:ascii="Times New Roman"/>
          <w:b w:val="false"/>
          <w:i w:val="false"/>
          <w:color w:val="000000"/>
          <w:sz w:val="28"/>
        </w:rPr>
        <w:t>
      В разделе выделяются подразделы «Цели и задачи общего процесса», «Участники общего процесса», «Структура общего процесса», «Процедуры общего процесса».</w:t>
      </w:r>
      <w:r>
        <w:br/>
      </w:r>
      <w:r>
        <w:rPr>
          <w:rFonts w:ascii="Times New Roman"/>
          <w:b w:val="false"/>
          <w:i w:val="false"/>
          <w:color w:val="000000"/>
          <w:sz w:val="28"/>
        </w:rPr>
        <w:t>
</w:t>
      </w:r>
      <w:r>
        <w:rPr>
          <w:rFonts w:ascii="Times New Roman"/>
          <w:b w:val="false"/>
          <w:i w:val="false"/>
          <w:color w:val="000000"/>
          <w:sz w:val="28"/>
        </w:rPr>
        <w:t>
      23. Полное наименование общего процесса указывается в соответствии с перечнем общих процессов в рамках Евразийского экономического союза, утвержденным решением Комиссии.</w:t>
      </w:r>
      <w:r>
        <w:br/>
      </w:r>
      <w:r>
        <w:rPr>
          <w:rFonts w:ascii="Times New Roman"/>
          <w:b w:val="false"/>
          <w:i w:val="false"/>
          <w:color w:val="000000"/>
          <w:sz w:val="28"/>
        </w:rPr>
        <w:t>
      Кодовое обозначение общего процесса формируется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настоящей Методики и приводится в отдельном пункте. Кодовое обозначение общего процесса, введенное в правилах информационного взаимодействия, используется в других технологических документах общего процесса.</w:t>
      </w:r>
      <w:r>
        <w:br/>
      </w:r>
      <w:r>
        <w:rPr>
          <w:rFonts w:ascii="Times New Roman"/>
          <w:b w:val="false"/>
          <w:i w:val="false"/>
          <w:color w:val="000000"/>
          <w:sz w:val="28"/>
        </w:rPr>
        <w:t>
      Сведения о наименовании и кодовом обозначении общего процесса приводятся по следующей форме:</w:t>
      </w:r>
    </w:p>
    <w:bookmarkEnd w:id="19"/>
    <w:p>
      <w:pPr>
        <w:spacing w:after="0"/>
        <w:ind w:left="0"/>
        <w:jc w:val="both"/>
      </w:pPr>
      <w:r>
        <w:rPr>
          <w:rFonts w:ascii="Times New Roman"/>
          <w:b w:val="false"/>
          <w:i w:val="false"/>
          <w:color w:val="000000"/>
          <w:sz w:val="28"/>
        </w:rPr>
        <w:t>      1. Полное наименование общего процесса: «Регистрация и использование заявок на получение права на территориях государств – членов Евразийского экономического союза».</w:t>
      </w:r>
      <w:r>
        <w:br/>
      </w:r>
      <w:r>
        <w:rPr>
          <w:rFonts w:ascii="Times New Roman"/>
          <w:b w:val="false"/>
          <w:i w:val="false"/>
          <w:color w:val="000000"/>
          <w:sz w:val="28"/>
        </w:rPr>
        <w:t>
      2. Кодовое обозначение общего процесса: P.OT.01, версия 1.0.0.</w:t>
      </w:r>
    </w:p>
    <w:bookmarkStart w:name="z38" w:id="20"/>
    <w:p>
      <w:pPr>
        <w:spacing w:after="0"/>
        <w:ind w:left="0"/>
        <w:jc w:val="both"/>
      </w:pPr>
      <w:r>
        <w:rPr>
          <w:rFonts w:ascii="Times New Roman"/>
          <w:b w:val="false"/>
          <w:i w:val="false"/>
          <w:color w:val="000000"/>
          <w:sz w:val="28"/>
        </w:rPr>
        <w:t>
      24. Определению задач общего процесса предшествует определение целей (цели) общего процесса, описываемых как конечные результаты, на достижение которых направлена реализация общего процесса.</w:t>
      </w:r>
      <w:r>
        <w:br/>
      </w:r>
      <w:r>
        <w:rPr>
          <w:rFonts w:ascii="Times New Roman"/>
          <w:b w:val="false"/>
          <w:i w:val="false"/>
          <w:color w:val="000000"/>
          <w:sz w:val="28"/>
        </w:rPr>
        <w:t>
      Используемые в подразделе «Цели и задачи общего процесса» для определения целей общего процессы формулировки должны отвечать следующим условиям:</w:t>
      </w:r>
      <w:r>
        <w:br/>
      </w:r>
      <w:r>
        <w:rPr>
          <w:rFonts w:ascii="Times New Roman"/>
          <w:b w:val="false"/>
          <w:i w:val="false"/>
          <w:color w:val="000000"/>
          <w:sz w:val="28"/>
        </w:rPr>
        <w:t>
      они должны быть конкретными;</w:t>
      </w:r>
      <w:r>
        <w:br/>
      </w:r>
      <w:r>
        <w:rPr>
          <w:rFonts w:ascii="Times New Roman"/>
          <w:b w:val="false"/>
          <w:i w:val="false"/>
          <w:color w:val="000000"/>
          <w:sz w:val="28"/>
        </w:rPr>
        <w:t>
      они должны быть понятными для лиц, применяющих правила информационного взаимодействия;</w:t>
      </w:r>
      <w:r>
        <w:br/>
      </w:r>
      <w:r>
        <w:rPr>
          <w:rFonts w:ascii="Times New Roman"/>
          <w:b w:val="false"/>
          <w:i w:val="false"/>
          <w:color w:val="000000"/>
          <w:sz w:val="28"/>
        </w:rPr>
        <w:t>
      они должны исключать возможность неоднозначной трактовки планируемого результата.</w:t>
      </w:r>
      <w:r>
        <w:br/>
      </w:r>
      <w:r>
        <w:rPr>
          <w:rFonts w:ascii="Times New Roman"/>
          <w:b w:val="false"/>
          <w:i w:val="false"/>
          <w:color w:val="000000"/>
          <w:sz w:val="28"/>
        </w:rPr>
        <w:t>
</w:t>
      </w:r>
      <w:r>
        <w:rPr>
          <w:rFonts w:ascii="Times New Roman"/>
          <w:b w:val="false"/>
          <w:i w:val="false"/>
          <w:color w:val="000000"/>
          <w:sz w:val="28"/>
        </w:rPr>
        <w:t>
      25. Задачи общего процесса определяются в подразделе как совокупность взаимосвязанных мероприятий, обеспечивающих достижение целей общего процесса.</w:t>
      </w:r>
      <w:r>
        <w:br/>
      </w:r>
      <w:r>
        <w:rPr>
          <w:rFonts w:ascii="Times New Roman"/>
          <w:b w:val="false"/>
          <w:i w:val="false"/>
          <w:color w:val="000000"/>
          <w:sz w:val="28"/>
        </w:rPr>
        <w:t>
      Формулировки задач общего процесса должны основываться на положениях международных договоров и актов, составляющих право Союза, и отвечать требованиям конкретности, необходимости и достаточности для достижения цели (целей) общего процесса.</w:t>
      </w:r>
      <w:r>
        <w:br/>
      </w:r>
      <w:r>
        <w:rPr>
          <w:rFonts w:ascii="Times New Roman"/>
          <w:b w:val="false"/>
          <w:i w:val="false"/>
          <w:color w:val="000000"/>
          <w:sz w:val="28"/>
        </w:rPr>
        <w:t>
      При формулировании задач необходимо обеспечить их взаимоувязанность, согласованность, возможность проверки их решения.</w:t>
      </w:r>
      <w:r>
        <w:br/>
      </w:r>
      <w:r>
        <w:rPr>
          <w:rFonts w:ascii="Times New Roman"/>
          <w:b w:val="false"/>
          <w:i w:val="false"/>
          <w:color w:val="000000"/>
          <w:sz w:val="28"/>
        </w:rPr>
        <w:t>
</w:t>
      </w:r>
      <w:r>
        <w:rPr>
          <w:rFonts w:ascii="Times New Roman"/>
          <w:b w:val="false"/>
          <w:i w:val="false"/>
          <w:color w:val="000000"/>
          <w:sz w:val="28"/>
        </w:rPr>
        <w:t>
      26. Состав участников общего процесса определяется в подразделе «Участники общего процесса» на основе положений международных договоров и актов, составляющих право Союза, регламентирующих общий процесс.</w:t>
      </w:r>
      <w:r>
        <w:br/>
      </w:r>
      <w:r>
        <w:rPr>
          <w:rFonts w:ascii="Times New Roman"/>
          <w:b w:val="false"/>
          <w:i w:val="false"/>
          <w:color w:val="000000"/>
          <w:sz w:val="28"/>
        </w:rPr>
        <w:t>
      Перечень участников общего процесса с кодовыми обозначениями приводится в табличной форме согласно следующему образцу: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4028"/>
        <w:gridCol w:w="5967"/>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w:t>
            </w:r>
            <w:r>
              <w:rPr>
                <w:rFonts w:ascii="Times New Roman"/>
                <w:b w:val="false"/>
                <w:i w:val="false"/>
                <w:color w:val="000000"/>
                <w:sz w:val="20"/>
              </w:rPr>
              <w:t>обозначение</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000"/>
        <w:gridCol w:w="6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w:t>
            </w:r>
            <w:r>
              <w:rPr>
                <w:rFonts w:ascii="Times New Roman"/>
                <w:b w:val="false"/>
                <w:i w:val="false"/>
                <w:color w:val="000000"/>
                <w:sz w:val="20"/>
              </w:rPr>
              <w:t>обозначение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P.ACT.001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обеспечивающий доступ к сведениям реестра заявок на получение права на информационном портале Союза. Получает сведения из национальных информационных ресурсов государств-членов и обновляет сведения реестра заявок на получение права на информационном портале Союза</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P.OT.01.ACT.001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или физическое лицо, подавшее заявку на получение права в уполномоченный орган государства-члена</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P.OT.01.ACT.003</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 который принимает заявки на получение права, формирует и ведет национальный информационный ресурс заявок на получение права</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P.OT.01.ACT.004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национальное ведомство</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 ответственный за экспертизу заявки на получение права</w:t>
            </w:r>
          </w:p>
        </w:tc>
      </w:tr>
    </w:tbl>
    <w:bookmarkStart w:name="z41" w:id="21"/>
    <w:p>
      <w:pPr>
        <w:spacing w:after="0"/>
        <w:ind w:left="0"/>
        <w:jc w:val="both"/>
      </w:pPr>
      <w:r>
        <w:rPr>
          <w:rFonts w:ascii="Times New Roman"/>
          <w:b w:val="false"/>
          <w:i w:val="false"/>
          <w:color w:val="000000"/>
          <w:sz w:val="28"/>
        </w:rPr>
        <w:t>      Кодовое обозначение присваивается каждому участнику общего процесса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настоящей Методики.</w:t>
      </w:r>
      <w:r>
        <w:br/>
      </w:r>
      <w:r>
        <w:rPr>
          <w:rFonts w:ascii="Times New Roman"/>
          <w:b w:val="false"/>
          <w:i w:val="false"/>
          <w:color w:val="000000"/>
          <w:sz w:val="28"/>
        </w:rPr>
        <w:t>
      В графе «Наименование» приводится наименование участника общего процесса, определяемое в соответствии с международными договорами и актами, составляющими право Союза, актами законодательства государства-члена.</w:t>
      </w:r>
      <w:r>
        <w:br/>
      </w:r>
      <w:r>
        <w:rPr>
          <w:rFonts w:ascii="Times New Roman"/>
          <w:b w:val="false"/>
          <w:i w:val="false"/>
          <w:color w:val="000000"/>
          <w:sz w:val="28"/>
        </w:rPr>
        <w:t>
      В графе «Описание» в отношении уполномоченных органов указываются наименования органов исполнительной власти государств-членов, наделенных соответствующими полномочиями в соответствии с законодательством государств-членов, действующих в качестве участников общего процесса на основании международных договоров и актов, составляющих право Союза, и принятых в их исполнение актов законодательства государств-членов.</w:t>
      </w:r>
      <w:r>
        <w:br/>
      </w:r>
      <w:r>
        <w:rPr>
          <w:rFonts w:ascii="Times New Roman"/>
          <w:b w:val="false"/>
          <w:i w:val="false"/>
          <w:color w:val="000000"/>
          <w:sz w:val="28"/>
        </w:rPr>
        <w:t>
      Вместо наименования уполномоченного органа может приводиться характеристика сферы его компетенции, например: «Уполномоченный орган исполнительной власти государства-члена, осуществляющий ведение …» или «Уполномоченный орган государства-члена, к компетенции которого в соответствии с законодательством государства-члена относятся вопросы …».</w:t>
      </w:r>
      <w:r>
        <w:br/>
      </w:r>
      <w:r>
        <w:rPr>
          <w:rFonts w:ascii="Times New Roman"/>
          <w:b w:val="false"/>
          <w:i w:val="false"/>
          <w:color w:val="000000"/>
          <w:sz w:val="28"/>
        </w:rPr>
        <w:t>
      Если в соответствии с международными договорами и актами, составляющими право Союза, и (или) принятыми в их исполнение актами законодательства государств-членов в общем процессе участвует структурное подразделение уполномоченного органа или Комиссии, в графе «Описание» приводится наименование указанного структурного подразделения либо признаки, позволяющие выделить ответственное структурное подразделение в организационной структуре уполномоченного органа или Комиссии, например: «Евразийская экономическая комиссия, Департамент защиты внутреннего рынка» или «департамент Евразийской экономической комиссии, осуществляющий полномочия органа, ответственного за проведение расследований, предшествующих введению специальных защитных, антидемпинговых и компенсационных мер на территории Евразийского экономического союза».</w:t>
      </w:r>
      <w:r>
        <w:br/>
      </w:r>
      <w:r>
        <w:rPr>
          <w:rFonts w:ascii="Times New Roman"/>
          <w:b w:val="false"/>
          <w:i w:val="false"/>
          <w:color w:val="000000"/>
          <w:sz w:val="28"/>
        </w:rPr>
        <w:t>
      Если законодательством государства-члена предусмотрена возможность делегирования выполняемых органами исполнительной власти полномочий и такая возможность реализована, в графе «Описание» приводится наименование соответствующей организации или приводятся характеристики, позволяющие идентифицировать указанную организацию.</w:t>
      </w:r>
      <w:r>
        <w:br/>
      </w:r>
      <w:r>
        <w:rPr>
          <w:rFonts w:ascii="Times New Roman"/>
          <w:b w:val="false"/>
          <w:i w:val="false"/>
          <w:color w:val="000000"/>
          <w:sz w:val="28"/>
        </w:rPr>
        <w:t>
      При описании заинтересованных лиц с использованием группировочных признаков могут приводится характеристики юридических и (или) физических лиц, позволяющие объединить их по признаку вовлеченности в общий процесс (непосредственному участию в выполняемых операциях и процедурах), заинтересованности в результате общего процесса. Если в соответствии с международными договорами и актами, составляющими право Союза, круг юридических и физических лиц определен указанием на осуществляемые виды деятельности (сферу деятельности), в графе «Описание» целесообразно использовать соответствующие нормативные обозначения, например: «таможенные перевозчики», «декларанты», «получатели промышленной субсидии», «хозяйствующий субъект (субъект рынка)».</w:t>
      </w:r>
      <w:r>
        <w:br/>
      </w:r>
      <w:r>
        <w:rPr>
          <w:rFonts w:ascii="Times New Roman"/>
          <w:b w:val="false"/>
          <w:i w:val="false"/>
          <w:color w:val="000000"/>
          <w:sz w:val="28"/>
        </w:rPr>
        <w:t>
</w:t>
      </w:r>
      <w:r>
        <w:rPr>
          <w:rFonts w:ascii="Times New Roman"/>
          <w:b w:val="false"/>
          <w:i w:val="false"/>
          <w:color w:val="000000"/>
          <w:sz w:val="28"/>
        </w:rPr>
        <w:t>
      27. В подразделе «Структура общего процесса» приводятся сведения, формирующие общее представление обо всех процедурах общего процесса и связях между ними.</w:t>
      </w:r>
      <w:r>
        <w:br/>
      </w:r>
      <w:r>
        <w:rPr>
          <w:rFonts w:ascii="Times New Roman"/>
          <w:b w:val="false"/>
          <w:i w:val="false"/>
          <w:color w:val="000000"/>
          <w:sz w:val="28"/>
        </w:rPr>
        <w:t>
      Описание процедур общего процесса приводится для общего процесса в целом (если процедуры не объединены в группы) или отдельно для каждой группы процедур (если процедуры объединены в группы).</w:t>
      </w:r>
      <w:r>
        <w:br/>
      </w:r>
      <w:r>
        <w:rPr>
          <w:rFonts w:ascii="Times New Roman"/>
          <w:b w:val="false"/>
          <w:i w:val="false"/>
          <w:color w:val="000000"/>
          <w:sz w:val="28"/>
        </w:rPr>
        <w:t>
      Если в рамках общего процесса предполагается использование общего информационного ресурса, определяются общие принципы формирования и ведения этого ресурса с указанием ответственных участников общего процесса, а также общие правила доступа к представляемой информации.</w:t>
      </w:r>
      <w:r>
        <w:br/>
      </w:r>
      <w:r>
        <w:rPr>
          <w:rFonts w:ascii="Times New Roman"/>
          <w:b w:val="false"/>
          <w:i w:val="false"/>
          <w:color w:val="000000"/>
          <w:sz w:val="28"/>
        </w:rPr>
        <w:t>
      Если в общем процессе отдельные процедуры объединены в группы в соответствии с задачами общего процесса, в рамках описания структуры общего процесса перечисляются все группы процедур.</w:t>
      </w:r>
      <w:r>
        <w:br/>
      </w:r>
      <w:r>
        <w:rPr>
          <w:rFonts w:ascii="Times New Roman"/>
          <w:b w:val="false"/>
          <w:i w:val="false"/>
          <w:color w:val="000000"/>
          <w:sz w:val="28"/>
        </w:rPr>
        <w:t>
      Сведения о структуре общего процесса сопровождаются иллюстрацией, выполненной с использованием графической нотации в соответствии с требованиями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Кодовое обозначение процедуры общего процесса, приводимое в перечне процедур общего процесса, формируется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настоящей Методики.</w:t>
      </w:r>
      <w:r>
        <w:br/>
      </w:r>
      <w:r>
        <w:rPr>
          <w:rFonts w:ascii="Times New Roman"/>
          <w:b w:val="false"/>
          <w:i w:val="false"/>
          <w:color w:val="000000"/>
          <w:sz w:val="28"/>
        </w:rPr>
        <w:t>
      Перечень процедур общего процесса приводится в табличной форме согласно следующему образцу: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4882"/>
        <w:gridCol w:w="5551"/>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w:t>
            </w:r>
            <w:r>
              <w:rPr>
                <w:rFonts w:ascii="Times New Roman"/>
                <w:b w:val="false"/>
                <w:i w:val="false"/>
                <w:color w:val="000000"/>
                <w:sz w:val="20"/>
              </w:rPr>
              <w:t>обозначение</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4857"/>
        <w:gridCol w:w="5572"/>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w:t>
            </w:r>
            <w:r>
              <w:rPr>
                <w:rFonts w:ascii="Times New Roman"/>
                <w:b w:val="false"/>
                <w:i w:val="false"/>
                <w:color w:val="000000"/>
                <w:sz w:val="20"/>
              </w:rPr>
              <w:t>обозначение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P.OT.01.PRC.001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предварительная экспертиза заявки на получение права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проверки уполномоченным органом правильности оформления представленных документов, наличия документов и сведений, необходимых для регистрации заявки на получение права в реестре заявок на получение права в соответствии с требованиями, предусмотренными </w:t>
            </w:r>
            <w:r>
              <w:rPr>
                <w:rFonts w:ascii="Times New Roman"/>
                <w:b w:val="false"/>
                <w:i w:val="false"/>
                <w:color w:val="000000"/>
                <w:sz w:val="20"/>
              </w:rPr>
              <w:t>Договором</w:t>
            </w:r>
            <w:r>
              <w:rPr>
                <w:rFonts w:ascii="Times New Roman"/>
                <w:b w:val="false"/>
                <w:i w:val="false"/>
                <w:color w:val="000000"/>
                <w:sz w:val="20"/>
              </w:rPr>
              <w:t xml:space="preserve"> о Союзе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P.OT.01.PRC.002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обращения о нарушении прав заявителя</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защиты прав заявителей, которые могут быть нарушены в связи с подачей заявки другим заявителем. Заявитель, права которого могут быть нарушены, подает обращение о нарушении прав через личный кабинет на информационном портале Союза и получает уведомление о результатах рассмотрения обращения в личном кабинете на информационном портале Союза</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P.OT.01.PRC.003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преобразование заявки на получение права в национальную заявку</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преобразования заявки на получение права в национальную заявку на регистрацию права на основании ходатайства заявителя</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P.OT.01.PRC.004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заявки на получение права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проверки уполномоченным органом отсутствия оснований для отказа в регистрации заявки на получение права, предусмотренных Договором о Союзе</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P.OT.01.PRC.005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регистрации полученного права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принятия уполномоченным органом решения о возможности регистрации полученного права по результатам экспертизы заявки на основании заключений национальных ведомств</w:t>
            </w:r>
          </w:p>
        </w:tc>
      </w:tr>
    </w:tbl>
    <w:bookmarkStart w:name="z42" w:id="22"/>
    <w:p>
      <w:pPr>
        <w:spacing w:after="0"/>
        <w:ind w:left="0"/>
        <w:jc w:val="both"/>
      </w:pPr>
      <w:r>
        <w:rPr>
          <w:rFonts w:ascii="Times New Roman"/>
          <w:b w:val="false"/>
          <w:i w:val="false"/>
          <w:color w:val="000000"/>
          <w:sz w:val="28"/>
        </w:rPr>
        <w:t>
2. Требования к разделу</w:t>
      </w:r>
      <w:r>
        <w:br/>
      </w:r>
      <w:r>
        <w:rPr>
          <w:rFonts w:ascii="Times New Roman"/>
          <w:b w:val="false"/>
          <w:i w:val="false"/>
          <w:color w:val="000000"/>
          <w:sz w:val="28"/>
        </w:rPr>
        <w:t>
«Информационные объекты общего процесса»</w:t>
      </w:r>
    </w:p>
    <w:bookmarkEnd w:id="22"/>
    <w:bookmarkStart w:name="z43" w:id="23"/>
    <w:p>
      <w:pPr>
        <w:spacing w:after="0"/>
        <w:ind w:left="0"/>
        <w:jc w:val="both"/>
      </w:pPr>
      <w:r>
        <w:rPr>
          <w:rFonts w:ascii="Times New Roman"/>
          <w:b w:val="false"/>
          <w:i w:val="false"/>
          <w:color w:val="000000"/>
          <w:sz w:val="28"/>
        </w:rPr>
        <w:t>
      28. Перечень основных информационных объектов, сведения о которых или из которых передаются в процессе информационного взаимодействия, приводится в табличной форме согласно следующему образцу: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4397"/>
        <w:gridCol w:w="5598"/>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w:t>
            </w:r>
            <w:r>
              <w:rPr>
                <w:rFonts w:ascii="Times New Roman"/>
                <w:b w:val="false"/>
                <w:i w:val="false"/>
                <w:color w:val="000000"/>
                <w:sz w:val="20"/>
              </w:rPr>
              <w:t>бозначение</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428"/>
        <w:gridCol w:w="5572"/>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w:t>
            </w:r>
            <w:r>
              <w:rPr>
                <w:rFonts w:ascii="Times New Roman"/>
                <w:b w:val="false"/>
                <w:i w:val="false"/>
                <w:color w:val="000000"/>
                <w:sz w:val="20"/>
              </w:rPr>
              <w:t>обозначение</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P,.OT.01.BEN.001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необходимых для регистрации полученного права</w:t>
            </w:r>
          </w:p>
        </w:tc>
      </w:tr>
    </w:tbl>
    <w:bookmarkStart w:name="z44" w:id="24"/>
    <w:p>
      <w:pPr>
        <w:spacing w:after="0"/>
        <w:ind w:left="0"/>
        <w:jc w:val="both"/>
      </w:pPr>
      <w:r>
        <w:rPr>
          <w:rFonts w:ascii="Times New Roman"/>
          <w:b w:val="false"/>
          <w:i w:val="false"/>
          <w:color w:val="000000"/>
          <w:sz w:val="28"/>
        </w:rPr>
        <w:t>
      29. Кодовое обозначение информационного объекта общего процесса или информационного ресурса формируется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настоящей Методики.</w:t>
      </w:r>
    </w:p>
    <w:bookmarkEnd w:id="24"/>
    <w:bookmarkStart w:name="z45" w:id="25"/>
    <w:p>
      <w:pPr>
        <w:spacing w:after="0"/>
        <w:ind w:left="0"/>
        <w:jc w:val="both"/>
      </w:pPr>
      <w:r>
        <w:rPr>
          <w:rFonts w:ascii="Times New Roman"/>
          <w:b w:val="false"/>
          <w:i w:val="false"/>
          <w:color w:val="000000"/>
          <w:sz w:val="28"/>
        </w:rPr>
        <w:t>
3. Требования к разделу</w:t>
      </w:r>
      <w:r>
        <w:br/>
      </w:r>
      <w:r>
        <w:rPr>
          <w:rFonts w:ascii="Times New Roman"/>
          <w:b w:val="false"/>
          <w:i w:val="false"/>
          <w:color w:val="000000"/>
          <w:sz w:val="28"/>
        </w:rPr>
        <w:t>
«Ответственность участников общего процесса»</w:t>
      </w:r>
    </w:p>
    <w:bookmarkEnd w:id="25"/>
    <w:bookmarkStart w:name="z46" w:id="26"/>
    <w:p>
      <w:pPr>
        <w:spacing w:after="0"/>
        <w:ind w:left="0"/>
        <w:jc w:val="both"/>
      </w:pPr>
      <w:r>
        <w:rPr>
          <w:rFonts w:ascii="Times New Roman"/>
          <w:b w:val="false"/>
          <w:i w:val="false"/>
          <w:color w:val="000000"/>
          <w:sz w:val="28"/>
        </w:rPr>
        <w:t>
      30. Положения о дисциплинарной ответственности должностных лиц и сотрудников уполномоченных органов государств-членов и Комиссии, участвующих в информационном взаимодействии, за своевременность и полноту передачи сведений, если такая ответственность предусмотрена международными договорами и (или) актами, составляющими право Союза, включаются в раздел с целью повышения дисциплины должностных лиц и сотрудников, предупреждения или исключения нарушения правил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31. В разделе приводятся ссылки на международные договоры и (или) акты, составляющие право Союза, определяющие основания и порядок привлечения должностных лиц и сотрудников Комиссии к дисциплинарной ответственности.</w:t>
      </w:r>
      <w:r>
        <w:br/>
      </w:r>
      <w:r>
        <w:rPr>
          <w:rFonts w:ascii="Times New Roman"/>
          <w:b w:val="false"/>
          <w:i w:val="false"/>
          <w:color w:val="000000"/>
          <w:sz w:val="28"/>
        </w:rPr>
        <w:t>
      В отношении должностных лиц и сотрудников уполномоченных органов государств-членов в разделе при необходимости приводятся ссылки на нормативные правовые акты государств-членов, устанавливающие основания и порядок привлечения должностных лиц и сотрудников уполномоченных органов к ответственности.</w:t>
      </w:r>
    </w:p>
    <w:bookmarkEnd w:id="26"/>
    <w:bookmarkStart w:name="z48" w:id="27"/>
    <w:p>
      <w:pPr>
        <w:spacing w:after="0"/>
        <w:ind w:left="0"/>
        <w:jc w:val="both"/>
      </w:pPr>
      <w:r>
        <w:rPr>
          <w:rFonts w:ascii="Times New Roman"/>
          <w:b w:val="false"/>
          <w:i w:val="false"/>
          <w:color w:val="000000"/>
          <w:sz w:val="28"/>
        </w:rPr>
        <w:t>
4. Требования к разделу</w:t>
      </w:r>
      <w:r>
        <w:br/>
      </w:r>
      <w:r>
        <w:rPr>
          <w:rFonts w:ascii="Times New Roman"/>
          <w:b w:val="false"/>
          <w:i w:val="false"/>
          <w:color w:val="000000"/>
          <w:sz w:val="28"/>
        </w:rPr>
        <w:t>
«Справочники и классификаторы общего процесса»</w:t>
      </w:r>
    </w:p>
    <w:bookmarkEnd w:id="27"/>
    <w:bookmarkStart w:name="z49" w:id="28"/>
    <w:p>
      <w:pPr>
        <w:spacing w:after="0"/>
        <w:ind w:left="0"/>
        <w:jc w:val="both"/>
      </w:pPr>
      <w:r>
        <w:rPr>
          <w:rFonts w:ascii="Times New Roman"/>
          <w:b w:val="false"/>
          <w:i w:val="false"/>
          <w:color w:val="000000"/>
          <w:sz w:val="28"/>
        </w:rPr>
        <w:t>
      32. Раздел включается в правила информационного взаимодействия, если при реализации общего процесса для кодирования информации, используемой в процессе информационного взаимодействия, применяются справочники и (или) классификаторы.</w:t>
      </w:r>
      <w:r>
        <w:br/>
      </w:r>
      <w:r>
        <w:rPr>
          <w:rFonts w:ascii="Times New Roman"/>
          <w:b w:val="false"/>
          <w:i w:val="false"/>
          <w:color w:val="000000"/>
          <w:sz w:val="28"/>
        </w:rPr>
        <w:t>
</w:t>
      </w:r>
      <w:r>
        <w:rPr>
          <w:rFonts w:ascii="Times New Roman"/>
          <w:b w:val="false"/>
          <w:i w:val="false"/>
          <w:color w:val="000000"/>
          <w:sz w:val="28"/>
        </w:rPr>
        <w:t>
      33. В разделе приводится перечень используемых справочников и классификаторов с их кратким описанием.</w:t>
      </w:r>
      <w:r>
        <w:br/>
      </w:r>
      <w:r>
        <w:rPr>
          <w:rFonts w:ascii="Times New Roman"/>
          <w:b w:val="false"/>
          <w:i w:val="false"/>
          <w:color w:val="000000"/>
          <w:sz w:val="28"/>
        </w:rPr>
        <w:t>
      Перечень справочников и классификаторов общего процесса приводится в табличной форме согласно следующему образцу: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3174"/>
        <w:gridCol w:w="3384"/>
        <w:gridCol w:w="4454"/>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w:t>
            </w:r>
            <w:r>
              <w:rPr>
                <w:rFonts w:ascii="Times New Roman"/>
                <w:b w:val="false"/>
                <w:i w:val="false"/>
                <w:color w:val="000000"/>
                <w:sz w:val="20"/>
              </w:rPr>
              <w:t>обозначение</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3143"/>
        <w:gridCol w:w="3428"/>
        <w:gridCol w:w="4287"/>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Кодовое </w:t>
            </w:r>
            <w:r>
              <w:rPr>
                <w:rFonts w:ascii="Times New Roman"/>
                <w:b w:val="false"/>
                <w:i w:val="false"/>
                <w:color w:val="000000"/>
                <w:sz w:val="20"/>
              </w:rPr>
              <w:t>обозначение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стран мира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наименований стран и соответствующие им коды (утвержден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bl>
    <w:bookmarkStart w:name="z51" w:id="29"/>
    <w:p>
      <w:pPr>
        <w:spacing w:after="0"/>
        <w:ind w:left="0"/>
        <w:jc w:val="both"/>
      </w:pPr>
      <w:r>
        <w:rPr>
          <w:rFonts w:ascii="Times New Roman"/>
          <w:b w:val="false"/>
          <w:i w:val="false"/>
          <w:color w:val="000000"/>
          <w:sz w:val="28"/>
        </w:rPr>
        <w:t>
      34. В разделе могут указываться общие требования к используемым справочникам и классификаторам.</w:t>
      </w:r>
      <w:r>
        <w:br/>
      </w:r>
      <w:r>
        <w:rPr>
          <w:rFonts w:ascii="Times New Roman"/>
          <w:b w:val="false"/>
          <w:i w:val="false"/>
          <w:color w:val="000000"/>
          <w:sz w:val="28"/>
        </w:rPr>
        <w:t>
</w:t>
      </w:r>
      <w:r>
        <w:rPr>
          <w:rFonts w:ascii="Times New Roman"/>
          <w:b w:val="false"/>
          <w:i w:val="false"/>
          <w:color w:val="000000"/>
          <w:sz w:val="28"/>
        </w:rPr>
        <w:t>
      35. Если в общем процессе используются классификаторы, значения которых регламентируются теми же правовыми актами, которые регламентируют общий процесс, кодовое обозначение самого классификатора не приводится (приводится символ «—»).</w:t>
      </w:r>
      <w:r>
        <w:br/>
      </w:r>
      <w:r>
        <w:rPr>
          <w:rFonts w:ascii="Times New Roman"/>
          <w:b w:val="false"/>
          <w:i w:val="false"/>
          <w:color w:val="000000"/>
          <w:sz w:val="28"/>
        </w:rPr>
        <w:t>
      Элементы классификатора с их кодами приводятся в модели данных предметной области или в модели данных общего процесса в области значений соответствующего типа данных.</w:t>
      </w:r>
    </w:p>
    <w:bookmarkEnd w:id="29"/>
    <w:bookmarkStart w:name="z53" w:id="30"/>
    <w:p>
      <w:pPr>
        <w:spacing w:after="0"/>
        <w:ind w:left="0"/>
        <w:jc w:val="both"/>
      </w:pPr>
      <w:r>
        <w:rPr>
          <w:rFonts w:ascii="Times New Roman"/>
          <w:b w:val="false"/>
          <w:i w:val="false"/>
          <w:color w:val="000000"/>
          <w:sz w:val="28"/>
        </w:rPr>
        <w:t>
5. Требования к разделу</w:t>
      </w:r>
      <w:r>
        <w:br/>
      </w:r>
      <w:r>
        <w:rPr>
          <w:rFonts w:ascii="Times New Roman"/>
          <w:b w:val="false"/>
          <w:i w:val="false"/>
          <w:color w:val="000000"/>
          <w:sz w:val="28"/>
        </w:rPr>
        <w:t>
«Процедуры общего процесса»</w:t>
      </w:r>
    </w:p>
    <w:bookmarkEnd w:id="30"/>
    <w:bookmarkStart w:name="z54" w:id="31"/>
    <w:p>
      <w:pPr>
        <w:spacing w:after="0"/>
        <w:ind w:left="0"/>
        <w:jc w:val="both"/>
      </w:pPr>
      <w:r>
        <w:rPr>
          <w:rFonts w:ascii="Times New Roman"/>
          <w:b w:val="false"/>
          <w:i w:val="false"/>
          <w:color w:val="000000"/>
          <w:sz w:val="28"/>
        </w:rPr>
        <w:t>
      36. В разделе приводится описание процедур, выполняемых в рамках общего процесса, группируемых в соответствии с задачами общего процесса.</w:t>
      </w:r>
      <w:r>
        <w:br/>
      </w:r>
      <w:r>
        <w:rPr>
          <w:rFonts w:ascii="Times New Roman"/>
          <w:b w:val="false"/>
          <w:i w:val="false"/>
          <w:color w:val="000000"/>
          <w:sz w:val="28"/>
        </w:rPr>
        <w:t>
</w:t>
      </w:r>
      <w:r>
        <w:rPr>
          <w:rFonts w:ascii="Times New Roman"/>
          <w:b w:val="false"/>
          <w:i w:val="false"/>
          <w:color w:val="000000"/>
          <w:sz w:val="28"/>
        </w:rPr>
        <w:t>
      37. В зависимости от количества выделенных групп процедур в разделе «Структура общего процесса» могут быть сформированы подразделы, в которых приводятся описания процедур по соответствующим группам.</w:t>
      </w:r>
      <w:r>
        <w:br/>
      </w:r>
      <w:r>
        <w:rPr>
          <w:rFonts w:ascii="Times New Roman"/>
          <w:b w:val="false"/>
          <w:i w:val="false"/>
          <w:color w:val="000000"/>
          <w:sz w:val="28"/>
        </w:rPr>
        <w:t>
      В каждом таком подразделе приводится схема выполнения и перечень операций процедуры, выполняемой в рамках группы процедур.</w:t>
      </w:r>
      <w:r>
        <w:br/>
      </w:r>
      <w:r>
        <w:rPr>
          <w:rFonts w:ascii="Times New Roman"/>
          <w:b w:val="false"/>
          <w:i w:val="false"/>
          <w:color w:val="000000"/>
          <w:sz w:val="28"/>
        </w:rPr>
        <w:t>
      Каждая схема выполнения процедуры сопровождается иллюстрацией, выполненной с использованием графической нотации в соответствии с требованиями, приводимыми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38. При описании каждой процедуры указываются операции, выполняемые участниками общего процесса в рамках процедуры, и их последовательность, а также приводится детальное описание каждой операции с определением условий ее выполнения и достигаемых результатов.</w:t>
      </w:r>
      <w:r>
        <w:br/>
      </w:r>
      <w:r>
        <w:rPr>
          <w:rFonts w:ascii="Times New Roman"/>
          <w:b w:val="false"/>
          <w:i w:val="false"/>
          <w:color w:val="000000"/>
          <w:sz w:val="28"/>
        </w:rPr>
        <w:t>
</w:t>
      </w:r>
      <w:r>
        <w:rPr>
          <w:rFonts w:ascii="Times New Roman"/>
          <w:b w:val="false"/>
          <w:i w:val="false"/>
          <w:color w:val="000000"/>
          <w:sz w:val="28"/>
        </w:rPr>
        <w:t>
      39. Перечень операций для каждой процедуры приводится в табличной форме согласно следующему образцу: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6286"/>
        <w:gridCol w:w="4572"/>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5939"/>
        <w:gridCol w:w="4809"/>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правильности оформления заявки</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7 настоящих Правил</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заявки на получение права</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8 настоящих Правил</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правильности оформления сведений</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9 настоящих Правил</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P.OT.01.OPR.004</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по результатам предварительной экспертизы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10 настоящих Правил</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P.OT.01.OPR.005</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заявке на получение права, необходимых для публикации</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11 настоящих Правил</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P.OT.01.OPR.006</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заявки на получение права в реестре заявок на получение права</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12 настоящих Правил</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P.OT.01.OPR.007</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сведений о публикации заявки на получение права</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13 настоящих Правил</w:t>
            </w:r>
          </w:p>
        </w:tc>
      </w:tr>
    </w:tbl>
    <w:bookmarkStart w:name="z58" w:id="32"/>
    <w:p>
      <w:pPr>
        <w:spacing w:after="0"/>
        <w:ind w:left="0"/>
        <w:jc w:val="both"/>
      </w:pPr>
      <w:r>
        <w:rPr>
          <w:rFonts w:ascii="Times New Roman"/>
          <w:b w:val="false"/>
          <w:i w:val="false"/>
          <w:color w:val="000000"/>
          <w:sz w:val="28"/>
        </w:rPr>
        <w:t>
      40. Описание каждой операции приводится в табличной форме согласно следующему образцу: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285"/>
        <w:gridCol w:w="771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285"/>
        <w:gridCol w:w="771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P.OT.01.OPR.001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правильности оформления заявки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если от заявителя поступила заявка на получение права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подается на русском языке или на языке, предусмотренном законодательством государства уполномоченного органа с приложением перевода заявки на русский язык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принимает заявку на получение права и проверяет правильность ее оформления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принята в обработку, если соответствует установленным требованиям. В противном случае заявителю направляется решение об отказе в принятии заявки к рассмотрению</w:t>
            </w:r>
          </w:p>
        </w:tc>
      </w:tr>
    </w:tbl>
    <w:bookmarkStart w:name="z59" w:id="33"/>
    <w:p>
      <w:pPr>
        <w:spacing w:after="0"/>
        <w:ind w:left="0"/>
        <w:jc w:val="both"/>
      </w:pPr>
      <w:r>
        <w:rPr>
          <w:rFonts w:ascii="Times New Roman"/>
          <w:b w:val="false"/>
          <w:i w:val="false"/>
          <w:color w:val="000000"/>
          <w:sz w:val="28"/>
        </w:rPr>
        <w:t>
6. Требования к разделу</w:t>
      </w:r>
      <w:r>
        <w:br/>
      </w:r>
      <w:r>
        <w:rPr>
          <w:rFonts w:ascii="Times New Roman"/>
          <w:b w:val="false"/>
          <w:i w:val="false"/>
          <w:color w:val="000000"/>
          <w:sz w:val="28"/>
        </w:rPr>
        <w:t>
«Порядок действий в нештатных ситуациях»</w:t>
      </w:r>
    </w:p>
    <w:bookmarkEnd w:id="33"/>
    <w:bookmarkStart w:name="z60" w:id="34"/>
    <w:p>
      <w:pPr>
        <w:spacing w:after="0"/>
        <w:ind w:left="0"/>
        <w:jc w:val="both"/>
      </w:pPr>
      <w:r>
        <w:rPr>
          <w:rFonts w:ascii="Times New Roman"/>
          <w:b w:val="false"/>
          <w:i w:val="false"/>
          <w:color w:val="000000"/>
          <w:sz w:val="28"/>
        </w:rPr>
        <w:t>
      41. Сведения о возможных нештатных ситуациях в ходе выполнения процедур и общем порядке действий при их разрешении могут приводиться непосредственно в разделе или путем указания ссылок на акты, в которых такой порядок определен (в частности, на другие технологические документы общего процесса).</w:t>
      </w:r>
      <w:r>
        <w:br/>
      </w:r>
      <w:r>
        <w:rPr>
          <w:rFonts w:ascii="Times New Roman"/>
          <w:b w:val="false"/>
          <w:i w:val="false"/>
          <w:color w:val="000000"/>
          <w:sz w:val="28"/>
        </w:rPr>
        <w:t>
</w:t>
      </w:r>
      <w:r>
        <w:rPr>
          <w:rFonts w:ascii="Times New Roman"/>
          <w:b w:val="false"/>
          <w:i w:val="false"/>
          <w:color w:val="000000"/>
          <w:sz w:val="28"/>
        </w:rPr>
        <w:t>
      42. В числе нештатных ситуаций в разделе указываются технические сбои, ошибки структурного и логического контроля, другие. Например:</w:t>
      </w:r>
      <w:r>
        <w:br/>
      </w:r>
      <w:r>
        <w:rPr>
          <w:rFonts w:ascii="Times New Roman"/>
          <w:b w:val="false"/>
          <w:i w:val="false"/>
          <w:color w:val="000000"/>
          <w:sz w:val="28"/>
        </w:rPr>
        <w:t>
      В ходе выполнения процедур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установленного времени ожидания и в иных случаях.</w:t>
      </w:r>
      <w:r>
        <w:br/>
      </w:r>
      <w:r>
        <w:rPr>
          <w:rFonts w:ascii="Times New Roman"/>
          <w:b w:val="false"/>
          <w:i w:val="false"/>
          <w:color w:val="000000"/>
          <w:sz w:val="28"/>
        </w:rPr>
        <w:t>
</w:t>
      </w:r>
      <w:r>
        <w:rPr>
          <w:rFonts w:ascii="Times New Roman"/>
          <w:b w:val="false"/>
          <w:i w:val="false"/>
          <w:color w:val="000000"/>
          <w:sz w:val="28"/>
        </w:rPr>
        <w:t>
      43. В разделе определяется последовательность совершения участниками общего процесса соответствующих действий, в частности установление факта возникновения нештатной ситуации и ее идентификация (определение ее типа), проверка сообщения о нештатной ситуации, информирование о ней других участников общего процесса, принятие мер по устранению причин, вызвавших нештатную ситуацию, и последствий нештатной ситуации.</w:t>
      </w:r>
      <w:r>
        <w:br/>
      </w:r>
      <w:r>
        <w:rPr>
          <w:rFonts w:ascii="Times New Roman"/>
          <w:b w:val="false"/>
          <w:i w:val="false"/>
          <w:color w:val="000000"/>
          <w:sz w:val="28"/>
        </w:rPr>
        <w:t>
      Последовательность совершения действий зависит от типа нештатной ситуации. Например:</w:t>
      </w:r>
    </w:p>
    <w:bookmarkEnd w:id="34"/>
    <w:p>
      <w:pPr>
        <w:spacing w:after="0"/>
        <w:ind w:left="0"/>
        <w:jc w:val="both"/>
      </w:pPr>
      <w:r>
        <w:rPr>
          <w:rFonts w:ascii="Times New Roman"/>
          <w:b w:val="false"/>
          <w:i w:val="false"/>
          <w:color w:val="000000"/>
          <w:sz w:val="28"/>
        </w:rPr>
        <w:t>      В случае возникновения ошибок структурного и 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используемых для реализации общего процесса, и требованиям к контролю сообщений, определенным в Регламенте информационного взаимодействия между участниками общего процесса «Регистрация и использование заявок на получение права на территориях государств – членов Евразийского экономического союза», утвержденном Решением Коллегии Евразийской экономической комиссии от № (далее – Регламент информационного взаимодействия). В случае если выявлено несоответствие указанным описанию и (или) требованиям, уполномоченный орган принимает все необходимые меры для устранения выявленной ошибки.</w:t>
      </w:r>
      <w:r>
        <w:br/>
      </w:r>
      <w:r>
        <w:rPr>
          <w:rFonts w:ascii="Times New Roman"/>
          <w:b w:val="false"/>
          <w:i w:val="false"/>
          <w:color w:val="000000"/>
          <w:sz w:val="28"/>
        </w:rPr>
        <w:t>
      В целях разрешения нештатных ситуаций государства-члены информируют друг друга и Комиссию об уполномоченных органах, которые обеспечивают выполнение требований, предусмотренных настоящими Правилами, а также представляют контактные данные лиц, ответственных за обеспечение технической поддержки при реализации общего процесса.</w:t>
      </w:r>
      <w:r>
        <w:br/>
      </w:r>
      <w:r>
        <w:rPr>
          <w:rFonts w:ascii="Times New Roman"/>
          <w:b w:val="false"/>
          <w:i w:val="false"/>
          <w:color w:val="000000"/>
          <w:sz w:val="28"/>
        </w:rPr>
        <w:t>
      Детализированное описание действий в нештатных ситуациях приводится в Регламенте информационного взаимодействия.</w:t>
      </w:r>
    </w:p>
    <w:bookmarkStart w:name="z63" w:id="35"/>
    <w:p>
      <w:pPr>
        <w:spacing w:after="0"/>
        <w:ind w:left="0"/>
        <w:jc w:val="left"/>
      </w:pPr>
      <w:r>
        <w:rPr>
          <w:rFonts w:ascii="Times New Roman"/>
          <w:b/>
          <w:i w:val="false"/>
          <w:color w:val="000000"/>
        </w:rPr>
        <w:t xml:space="preserve"> 
V. Технические требования</w:t>
      </w:r>
      <w:r>
        <w:br/>
      </w:r>
      <w:r>
        <w:rPr>
          <w:rFonts w:ascii="Times New Roman"/>
          <w:b/>
          <w:i w:val="false"/>
          <w:color w:val="000000"/>
        </w:rPr>
        <w:t>
к проектированию и описанию общего процесса</w:t>
      </w:r>
      <w:r>
        <w:br/>
      </w:r>
      <w:r>
        <w:rPr>
          <w:rFonts w:ascii="Times New Roman"/>
          <w:b/>
          <w:i w:val="false"/>
          <w:color w:val="000000"/>
        </w:rPr>
        <w:t>
в регламенте информационного взаимодействия между</w:t>
      </w:r>
      <w:r>
        <w:br/>
      </w:r>
      <w:r>
        <w:rPr>
          <w:rFonts w:ascii="Times New Roman"/>
          <w:b/>
          <w:i w:val="false"/>
          <w:color w:val="000000"/>
        </w:rPr>
        <w:t>
участниками общего процесса при реализации средствами</w:t>
      </w:r>
      <w:r>
        <w:br/>
      </w:r>
      <w:r>
        <w:rPr>
          <w:rFonts w:ascii="Times New Roman"/>
          <w:b/>
          <w:i w:val="false"/>
          <w:color w:val="000000"/>
        </w:rPr>
        <w:t>
интегрированной системы общего процесса</w:t>
      </w:r>
    </w:p>
    <w:bookmarkEnd w:id="35"/>
    <w:bookmarkStart w:name="z64" w:id="36"/>
    <w:p>
      <w:pPr>
        <w:spacing w:after="0"/>
        <w:ind w:left="0"/>
        <w:jc w:val="both"/>
      </w:pPr>
      <w:r>
        <w:rPr>
          <w:rFonts w:ascii="Times New Roman"/>
          <w:b w:val="false"/>
          <w:i w:val="false"/>
          <w:color w:val="000000"/>
          <w:sz w:val="28"/>
        </w:rPr>
        <w:t xml:space="preserve">
1. Требования к разделу </w:t>
      </w:r>
      <w:r>
        <w:br/>
      </w:r>
      <w:r>
        <w:rPr>
          <w:rFonts w:ascii="Times New Roman"/>
          <w:b w:val="false"/>
          <w:i w:val="false"/>
          <w:color w:val="000000"/>
          <w:sz w:val="28"/>
        </w:rPr>
        <w:t>
«Основные сведения об информационном взаимодействии в рамках общего процесса»</w:t>
      </w:r>
    </w:p>
    <w:bookmarkEnd w:id="36"/>
    <w:bookmarkStart w:name="z65" w:id="37"/>
    <w:p>
      <w:pPr>
        <w:spacing w:after="0"/>
        <w:ind w:left="0"/>
        <w:jc w:val="both"/>
      </w:pPr>
      <w:r>
        <w:rPr>
          <w:rFonts w:ascii="Times New Roman"/>
          <w:b w:val="false"/>
          <w:i w:val="false"/>
          <w:color w:val="000000"/>
          <w:sz w:val="28"/>
        </w:rPr>
        <w:t>
      44. В разделе описываются функциональные роли каждого участника общего процесса, а также структура информационного взаимодействия с учетом выделенных групп процедур и выбранных способов взаимодействия.</w:t>
      </w:r>
      <w:r>
        <w:br/>
      </w:r>
      <w:r>
        <w:rPr>
          <w:rFonts w:ascii="Times New Roman"/>
          <w:b w:val="false"/>
          <w:i w:val="false"/>
          <w:color w:val="000000"/>
          <w:sz w:val="28"/>
        </w:rPr>
        <w:t>
      Структура информационного взаимодействия описывается в регламенте информационного взаимодействия между участниками общего процесса при реализации средствами интегрированной системы общего процесса (далее – регламент информационного взаимодействия) с целью установления связи между описанием общего процесса и описанием регламентируемого информационного взаимодействия.</w:t>
      </w:r>
      <w:r>
        <w:br/>
      </w:r>
      <w:r>
        <w:rPr>
          <w:rFonts w:ascii="Times New Roman"/>
          <w:b w:val="false"/>
          <w:i w:val="false"/>
          <w:color w:val="000000"/>
          <w:sz w:val="28"/>
        </w:rPr>
        <w:t>
      Если при описании общего процесса, в рамках которого выполняется регламентируемое информационное взаимодействие, использовалось объединение процедур в группы, информационное взаимодействие описывается отдельно для каждой группы процедур.</w:t>
      </w:r>
      <w:r>
        <w:br/>
      </w:r>
      <w:r>
        <w:rPr>
          <w:rFonts w:ascii="Times New Roman"/>
          <w:b w:val="false"/>
          <w:i w:val="false"/>
          <w:color w:val="000000"/>
          <w:sz w:val="28"/>
        </w:rPr>
        <w:t>
</w:t>
      </w:r>
      <w:r>
        <w:rPr>
          <w:rFonts w:ascii="Times New Roman"/>
          <w:b w:val="false"/>
          <w:i w:val="false"/>
          <w:color w:val="000000"/>
          <w:sz w:val="28"/>
        </w:rPr>
        <w:t>
      45. В разделе выделяются подразделы «Участники информационного взаимодействия» и «Структура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46. Перечень ролей участников информационного взаимодействия в рамках общего процесса приводится в подразделе «Участники информационного взаимодействия» в табличной форме согласно следующему образцу: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5297"/>
        <w:gridCol w:w="4629"/>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5297"/>
        <w:gridCol w:w="4629"/>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 </w:t>
            </w:r>
            <w:r>
              <w:rPr>
                <w:rFonts w:ascii="Times New Roman"/>
                <w:b w:val="false"/>
                <w:i w:val="false"/>
                <w:color w:val="000000"/>
                <w:sz w:val="20"/>
              </w:rPr>
              <w:t>выполняющий роль</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отвечает за формирование и ведение реестра заявок на получение права, представляет доступ к сведениям, содержащимся в данном реестре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(P.ACT.001)</w:t>
            </w:r>
          </w:p>
        </w:tc>
      </w:tr>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Регистратор</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отвечает за ведение национального информационного ресурса, содержащего сведения о заявках на получение права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(P.OT.01.ACT.003)</w:t>
            </w:r>
          </w:p>
        </w:tc>
      </w:tr>
    </w:tbl>
    <w:bookmarkStart w:name="z68" w:id="38"/>
    <w:p>
      <w:pPr>
        <w:spacing w:after="0"/>
        <w:ind w:left="0"/>
        <w:jc w:val="both"/>
      </w:pPr>
      <w:r>
        <w:rPr>
          <w:rFonts w:ascii="Times New Roman"/>
          <w:b w:val="false"/>
          <w:i w:val="false"/>
          <w:color w:val="000000"/>
          <w:sz w:val="28"/>
        </w:rPr>
        <w:t>
      47. Структура информационного взаимодействия описывается в соответствующем подразделе в текстовой форме путем перечисления процедур, по назначению которых осуществляется информационное взаимодействие.</w:t>
      </w:r>
      <w:r>
        <w:br/>
      </w:r>
      <w:r>
        <w:rPr>
          <w:rFonts w:ascii="Times New Roman"/>
          <w:b w:val="false"/>
          <w:i w:val="false"/>
          <w:color w:val="000000"/>
          <w:sz w:val="28"/>
        </w:rPr>
        <w:t>
      Структура информационного взаимодействия сопровождается иллюстрацией, выполненной с использованием графической нотации в соответствии с требованиями, приводимыми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r>
        <w:br/>
      </w:r>
      <w:r>
        <w:rPr>
          <w:rFonts w:ascii="Times New Roman"/>
          <w:b w:val="false"/>
          <w:i w:val="false"/>
          <w:color w:val="000000"/>
          <w:sz w:val="28"/>
        </w:rPr>
        <w:t>
      Структура информационного взаимодействия дополняется пояснением, которое оформляется в виде текста. Например:</w:t>
      </w:r>
    </w:p>
    <w:bookmarkEnd w:id="38"/>
    <w:p>
      <w:pPr>
        <w:spacing w:after="0"/>
        <w:ind w:left="0"/>
        <w:jc w:val="both"/>
      </w:pPr>
      <w:r>
        <w:rPr>
          <w:rFonts w:ascii="Times New Roman"/>
          <w:b w:val="false"/>
          <w:i w:val="false"/>
          <w:color w:val="000000"/>
          <w:sz w:val="28"/>
        </w:rPr>
        <w:t>      Информационное взаимодействие между уполномоченными органами государств-членов и Комиссией реализуется в рамках общего процесса.</w:t>
      </w:r>
      <w:r>
        <w:br/>
      </w:r>
      <w:r>
        <w:rPr>
          <w:rFonts w:ascii="Times New Roman"/>
          <w:b w:val="false"/>
          <w:i w:val="false"/>
          <w:color w:val="000000"/>
          <w:sz w:val="28"/>
        </w:rPr>
        <w:t>
      Структура общего процесса приводится в Правилах информационного взаимодействия при реализации средствами интегрированной информационной системы внешней и взаимной торговли общего процесса «Регистрация и использование полученного права на территориях государств – членов Евразийского экономического союза», утвержденных Решением Коллегии Евразийской экономической комиссии от 2015 г. №.</w:t>
      </w:r>
      <w:r>
        <w:br/>
      </w:r>
      <w:r>
        <w:rPr>
          <w:rFonts w:ascii="Times New Roman"/>
          <w:b w:val="false"/>
          <w:i w:val="false"/>
          <w:color w:val="000000"/>
          <w:sz w:val="28"/>
        </w:rPr>
        <w:t>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двумя участниками информационного взаимодействия. Для каждого информационного взаимодействия описаны отношения между операциями общего процесса и связанными с ними транзакциями.</w:t>
      </w:r>
      <w:r>
        <w:br/>
      </w:r>
      <w:r>
        <w:rPr>
          <w:rFonts w:ascii="Times New Roman"/>
          <w:b w:val="false"/>
          <w:i w:val="false"/>
          <w:color w:val="000000"/>
          <w:sz w:val="28"/>
        </w:rPr>
        <w:t>
      Транзакция общего процесса предполагает, что инициатор в рамках выполняемой им операции (инициирующей операции) отправляет респонденту сообщение-запрос, в ответ на которое респондент в рамках выполняемой им операции (принимающей операции) в зависимости от шаблона транзакции общего процесса может направить или не направить сообщение-ответ. При этом данные передаются в составе сообщений в структурированном виде в соответствии с описанием форматов электронных документов и сведений, используемых для реализации средствами интегрированной системы.</w:t>
      </w:r>
      <w:r>
        <w:br/>
      </w:r>
      <w:r>
        <w:rPr>
          <w:rFonts w:ascii="Times New Roman"/>
          <w:b w:val="false"/>
          <w:i w:val="false"/>
          <w:color w:val="000000"/>
          <w:sz w:val="28"/>
        </w:rPr>
        <w:t>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Start w:name="z69" w:id="39"/>
    <w:p>
      <w:pPr>
        <w:spacing w:after="0"/>
        <w:ind w:left="0"/>
        <w:jc w:val="both"/>
      </w:pPr>
      <w:r>
        <w:rPr>
          <w:rFonts w:ascii="Times New Roman"/>
          <w:b w:val="false"/>
          <w:i w:val="false"/>
          <w:color w:val="000000"/>
          <w:sz w:val="28"/>
        </w:rPr>
        <w:t>
2. Требования к разделу</w:t>
      </w:r>
      <w:r>
        <w:br/>
      </w:r>
      <w:r>
        <w:rPr>
          <w:rFonts w:ascii="Times New Roman"/>
          <w:b w:val="false"/>
          <w:i w:val="false"/>
          <w:color w:val="000000"/>
          <w:sz w:val="28"/>
        </w:rPr>
        <w:t>
«Информационное взаимодействие в рамках групп процедур»</w:t>
      </w:r>
    </w:p>
    <w:bookmarkEnd w:id="39"/>
    <w:bookmarkStart w:name="z70" w:id="40"/>
    <w:p>
      <w:pPr>
        <w:spacing w:after="0"/>
        <w:ind w:left="0"/>
        <w:jc w:val="both"/>
      </w:pPr>
      <w:r>
        <w:rPr>
          <w:rFonts w:ascii="Times New Roman"/>
          <w:b w:val="false"/>
          <w:i w:val="false"/>
          <w:color w:val="000000"/>
          <w:sz w:val="28"/>
        </w:rPr>
        <w:t>
      48. В разделе приводится перечень транзакций общего процесса, сведения о последовательности их выполнения, о связанных с ними информационных объектах, об операциях, выполняемых участниками общего процесса в рамках процедур, входящих в определенную группу.</w:t>
      </w:r>
      <w:r>
        <w:br/>
      </w:r>
      <w:r>
        <w:rPr>
          <w:rFonts w:ascii="Times New Roman"/>
          <w:b w:val="false"/>
          <w:i w:val="false"/>
          <w:color w:val="000000"/>
          <w:sz w:val="28"/>
        </w:rPr>
        <w:t>
      В разделе могут выделяться подразделы в зависимости от количества групп процедур, сформированных в регламенте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49. Перечень транзакций общего процесса, сгруппированных по процедурам, выполняемым в рамках общего процесса, приводится в табличной форме согласно следующему образцу: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344"/>
        <w:gridCol w:w="2991"/>
        <w:gridCol w:w="2414"/>
        <w:gridCol w:w="3314"/>
        <w:gridCol w:w="2230"/>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выполняемые инициатором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Промежуточные состояния информационных объектов общего процесса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выполняемые респондентом</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процедуры (код процедуры)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процедуры (код процедуры)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945"/>
        <w:gridCol w:w="3507"/>
        <w:gridCol w:w="2247"/>
        <w:gridCol w:w="2337"/>
        <w:gridCol w:w="2263"/>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предварительная экспертиза заявки на получение права (P.OT.01.PRC.001)</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заявке на получение права для публикации (P.OT.01.OPR.005).</w:t>
            </w:r>
            <w:r>
              <w:br/>
            </w:r>
            <w:r>
              <w:rPr>
                <w:rFonts w:ascii="Times New Roman"/>
                <w:b w:val="false"/>
                <w:i w:val="false"/>
                <w:color w:val="000000"/>
                <w:sz w:val="20"/>
              </w:rPr>
              <w:t>
</w:t>
            </w:r>
            <w:r>
              <w:rPr>
                <w:rFonts w:ascii="Times New Roman"/>
                <w:b w:val="false"/>
                <w:i w:val="false"/>
                <w:color w:val="000000"/>
                <w:sz w:val="20"/>
              </w:rPr>
              <w:t>Прием сведений о публикации заявки на получение права (P.OT.01.OPR.007)</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передана для публикации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заявки на получение права в реестре заявок на получение права (P.OT.01.OPR.006)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опубликована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заявки на получение права (P.OT.01.TRN.001)</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обращения о нарушении права заявителя (P.OT.01.PRC.002)</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сведений о нарушении права заявителя на проверку (P.OT.01.OPR.008).</w:t>
            </w:r>
          </w:p>
          <w:p>
            <w:pPr>
              <w:spacing w:after="20"/>
              <w:ind w:left="20"/>
              <w:jc w:val="both"/>
            </w:pPr>
            <w:r>
              <w:rPr>
                <w:rFonts w:ascii="Times New Roman"/>
                <w:b w:val="false"/>
                <w:i w:val="false"/>
                <w:color w:val="000000"/>
                <w:sz w:val="20"/>
              </w:rPr>
              <w:t>Уведомление заявителя об отказе в рассмотрении обращения (P.OT.01.OPR.010).</w:t>
            </w:r>
          </w:p>
          <w:p>
            <w:pPr>
              <w:spacing w:after="20"/>
              <w:ind w:left="20"/>
              <w:jc w:val="both"/>
            </w:pPr>
            <w:r>
              <w:rPr>
                <w:rFonts w:ascii="Times New Roman"/>
                <w:b w:val="false"/>
                <w:i w:val="false"/>
                <w:color w:val="000000"/>
                <w:sz w:val="20"/>
              </w:rPr>
              <w:t>Исключение заявки на получение права из реестра заявок на получение права (P.OT.01.OPR.011)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получены сведения о нарушении права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проверка сведений о нарушении права заявителя (P.OT.01.OPR.009)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сведения о нарушении права отклонены.</w:t>
            </w:r>
          </w:p>
          <w:p>
            <w:pPr>
              <w:spacing w:after="20"/>
              <w:ind w:left="20"/>
              <w:jc w:val="both"/>
            </w:pPr>
            <w:r>
              <w:rPr>
                <w:rFonts w:ascii="Times New Roman"/>
                <w:b w:val="false"/>
                <w:i w:val="false"/>
                <w:color w:val="000000"/>
                <w:sz w:val="20"/>
              </w:rPr>
              <w:t>Заявка на право (P.OT.01.BEN.001): сведения о нарушении права приняты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обращения </w:t>
            </w:r>
            <w:r>
              <w:br/>
            </w:r>
            <w:r>
              <w:rPr>
                <w:rFonts w:ascii="Times New Roman"/>
                <w:b w:val="false"/>
                <w:i w:val="false"/>
                <w:color w:val="000000"/>
                <w:sz w:val="20"/>
              </w:rPr>
              <w:t>
</w:t>
            </w:r>
            <w:r>
              <w:rPr>
                <w:rFonts w:ascii="Times New Roman"/>
                <w:b w:val="false"/>
                <w:i w:val="false"/>
                <w:color w:val="000000"/>
                <w:sz w:val="20"/>
              </w:rPr>
              <w:t>о нарушении права заявителя (P.OT.01.TRN.002)</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Преобразование заявки на получение права в национальную заявку (P.OT.01.PRC.003)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в Комиссию сведений о преобразовании заявки в национальную заявку (P.OT.01.OPR.012)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получены сведения о смене статуса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сведений о преобразовании заявки на получение права в национальную заявку (P.OT.01.OPR.013)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опубликован измененный статус заявки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сведений о преобразовании заявки на получение права в национальную заявку (P.OT.01.TRN.003)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Рассылка извещения о преобразовании заявки в национальную заявку (P.OT.01.OPR.014)</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извещения о преобразовании заявки на получение права в национальную заявку (P.OT.01.OPR.015)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извещение о смене статуса направлено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рассылка извещения о преобразовании заявки на получение права в национальную заявку на получение права (P.OT.01.TRN.004)</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регистрации полученного права (P.OT.01.PRC.005)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экспертизы (P.OT.01.OPR.020).</w:t>
            </w:r>
            <w:r>
              <w:br/>
            </w:r>
            <w:r>
              <w:rPr>
                <w:rFonts w:ascii="Times New Roman"/>
                <w:b w:val="false"/>
                <w:i w:val="false"/>
                <w:color w:val="000000"/>
                <w:sz w:val="20"/>
              </w:rPr>
              <w:t>
</w:t>
            </w:r>
            <w:r>
              <w:rPr>
                <w:rFonts w:ascii="Times New Roman"/>
                <w:b w:val="false"/>
                <w:i w:val="false"/>
                <w:color w:val="000000"/>
                <w:sz w:val="20"/>
              </w:rPr>
              <w:t>Получение уведомления об обработке представленных сведений о результатах экспертизы (P.OT.01.OPR.022)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представлены сведения о результатах экспертизы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обработка и публикация сведений о результатах экспертизы (P.OT.01.OPR.021)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сведения о результатах экспертизы опубликованы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сведений о результатах экспертизы заявки на получение права (P.OT.01.TRN.005)</w:t>
            </w:r>
          </w:p>
        </w:tc>
      </w:tr>
    </w:tbl>
    <w:bookmarkStart w:name="z72" w:id="41"/>
    <w:p>
      <w:pPr>
        <w:spacing w:after="0"/>
        <w:ind w:left="0"/>
        <w:jc w:val="both"/>
      </w:pPr>
      <w:r>
        <w:rPr>
          <w:rFonts w:ascii="Times New Roman"/>
          <w:b w:val="false"/>
          <w:i w:val="false"/>
          <w:color w:val="000000"/>
          <w:sz w:val="28"/>
        </w:rPr>
        <w:t>
      50. Каждая транзакция общего процесса сопровождается иллюстрацией, выполненной с использованием графической нотации в соответствии с требованиями, приводимыми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p>
    <w:bookmarkEnd w:id="41"/>
    <w:bookmarkStart w:name="z73" w:id="42"/>
    <w:p>
      <w:pPr>
        <w:spacing w:after="0"/>
        <w:ind w:left="0"/>
        <w:jc w:val="both"/>
      </w:pPr>
      <w:r>
        <w:rPr>
          <w:rFonts w:ascii="Times New Roman"/>
          <w:b w:val="false"/>
          <w:i w:val="false"/>
          <w:color w:val="000000"/>
          <w:sz w:val="28"/>
        </w:rPr>
        <w:t>
3. Требования к разделу</w:t>
      </w:r>
      <w:r>
        <w:br/>
      </w:r>
      <w:r>
        <w:rPr>
          <w:rFonts w:ascii="Times New Roman"/>
          <w:b w:val="false"/>
          <w:i w:val="false"/>
          <w:color w:val="000000"/>
          <w:sz w:val="28"/>
        </w:rPr>
        <w:t>
«Описание сообщений общего процесса»</w:t>
      </w:r>
    </w:p>
    <w:bookmarkEnd w:id="42"/>
    <w:bookmarkStart w:name="z74" w:id="43"/>
    <w:p>
      <w:pPr>
        <w:spacing w:after="0"/>
        <w:ind w:left="0"/>
        <w:jc w:val="both"/>
      </w:pPr>
      <w:r>
        <w:rPr>
          <w:rFonts w:ascii="Times New Roman"/>
          <w:b w:val="false"/>
          <w:i w:val="false"/>
          <w:color w:val="000000"/>
          <w:sz w:val="28"/>
        </w:rPr>
        <w:t>
      51. В разделе приводятся перечень и описание сообщений общего процесса, связанных с ними электронных документов и сведений, передаваемых (принимаемых) участниками общего процесса, определенными регламентом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52. Перечень сообщений общего процесса приводится в табличной форме согласно следующему образцу: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4835"/>
        <w:gridCol w:w="5529"/>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4666"/>
        <w:gridCol w:w="5516"/>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заявке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 (R.OT.OT.01.001)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нарушении права заявителя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 (R.OT.OT.01.001)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утвержденном обращении о нарушении права заявителя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 (R.OT.OT.01.001)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преобразовании заявки на получение права в национальную заявку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 (R.OT.OT.01.001)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экспертизы заявки на получение права и вынесенном решении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 (R.OT.OT.01.001)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извещение о преобразовании заявки на получение права в национальную заявку</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P.OT.01.MSG.008</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публикации сведений заявки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P.OT.01.MSG.009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отклонении обращения о нарушении прав заявителя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P.OT.01.MSG.010</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публикации результатов экспертизы и вынесенного решения</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даты и времени изменения заявки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 (R.OT.OT.01.001)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изменения заявки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подтверждения статуса заявки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 (R.OT.OT.01.001)</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подтверждении статуса заявки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P.OT.01.MSG.015</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неподтверждении статуса заявки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P.OT.01.MSG.016</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заявках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заявках на получение права (R.OT.OT.01.002)</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P.OT.01.MSG.017</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обработке отчета о заявках на получение права</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bl>
    <w:bookmarkStart w:name="z76" w:id="44"/>
    <w:p>
      <w:pPr>
        <w:spacing w:after="0"/>
        <w:ind w:left="0"/>
        <w:jc w:val="both"/>
      </w:pPr>
      <w:r>
        <w:rPr>
          <w:rFonts w:ascii="Times New Roman"/>
          <w:b w:val="false"/>
          <w:i w:val="false"/>
          <w:color w:val="000000"/>
          <w:sz w:val="28"/>
        </w:rPr>
        <w:t>      Кодовое обозначение сообщения общего процесса, приводимое в перечне сообщений общего процесса, формируется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
      53. В разделе приводятся требования к структуре данных в составе сообщения, правила формирования ссылки на соответствующую структуру в описании форматов электронных документов и сведений, используемых для реализации общего процесса. Например:</w:t>
      </w:r>
    </w:p>
    <w:bookmarkEnd w:id="44"/>
    <w:p>
      <w:pPr>
        <w:spacing w:after="0"/>
        <w:ind w:left="0"/>
        <w:jc w:val="both"/>
      </w:pPr>
      <w:r>
        <w:rPr>
          <w:rFonts w:ascii="Times New Roman"/>
          <w:b w:val="false"/>
          <w:i w:val="false"/>
          <w:color w:val="000000"/>
          <w:sz w:val="28"/>
        </w:rPr>
        <w:t>      Структура данных в составе сообщения должна соответствовать описанию форматов электронных документов и сведений, используемых для реализации общего процесса.</w:t>
      </w:r>
      <w:r>
        <w:br/>
      </w:r>
      <w:r>
        <w:rPr>
          <w:rFonts w:ascii="Times New Roman"/>
          <w:b w:val="false"/>
          <w:i w:val="false"/>
          <w:color w:val="000000"/>
          <w:sz w:val="28"/>
        </w:rPr>
        <w:t>
      Ссылка на соответствующую структуру в описании форматов и структур электронных документов и сведений, используемых для реализации общего процесса, устанавливается по значению соответствующей графы таблицы 4.</w:t>
      </w:r>
    </w:p>
    <w:bookmarkStart w:name="z77" w:id="45"/>
    <w:p>
      <w:pPr>
        <w:spacing w:after="0"/>
        <w:ind w:left="0"/>
        <w:jc w:val="both"/>
      </w:pPr>
      <w:r>
        <w:rPr>
          <w:rFonts w:ascii="Times New Roman"/>
          <w:b w:val="false"/>
          <w:i w:val="false"/>
          <w:color w:val="000000"/>
          <w:sz w:val="28"/>
        </w:rPr>
        <w:t>
4. Требования к разделу</w:t>
      </w:r>
      <w:r>
        <w:br/>
      </w:r>
      <w:r>
        <w:rPr>
          <w:rFonts w:ascii="Times New Roman"/>
          <w:b w:val="false"/>
          <w:i w:val="false"/>
          <w:color w:val="000000"/>
          <w:sz w:val="28"/>
        </w:rPr>
        <w:t>
«Описание транзакций общего процесса»</w:t>
      </w:r>
    </w:p>
    <w:bookmarkEnd w:id="45"/>
    <w:bookmarkStart w:name="z78" w:id="46"/>
    <w:p>
      <w:pPr>
        <w:spacing w:after="0"/>
        <w:ind w:left="0"/>
        <w:jc w:val="both"/>
      </w:pPr>
      <w:r>
        <w:rPr>
          <w:rFonts w:ascii="Times New Roman"/>
          <w:b w:val="false"/>
          <w:i w:val="false"/>
          <w:color w:val="000000"/>
          <w:sz w:val="28"/>
        </w:rPr>
        <w:t>
      54. В разделе для каждой транзакции общего процесса из перечня, указанного в разделе «Информационное взаимодействие в рамках групп процедур» регламента информационного взаимодействия, приводятся общая схема выполнения транзакции общего процесса и описание ее параметров, в том числе временных параметров, определяющих время ожидания и обработки данных.</w:t>
      </w:r>
      <w:r>
        <w:br/>
      </w:r>
      <w:r>
        <w:rPr>
          <w:rFonts w:ascii="Times New Roman"/>
          <w:b w:val="false"/>
          <w:i w:val="false"/>
          <w:color w:val="000000"/>
          <w:sz w:val="28"/>
        </w:rPr>
        <w:t>
</w:t>
      </w:r>
      <w:r>
        <w:rPr>
          <w:rFonts w:ascii="Times New Roman"/>
          <w:b w:val="false"/>
          <w:i w:val="false"/>
          <w:color w:val="000000"/>
          <w:sz w:val="28"/>
        </w:rPr>
        <w:t>
      55. В разделе выделяются подразделы, в которых приводятся полные наименования, кодовые обозначения и подробное описание транзакций общего процесса.</w:t>
      </w:r>
      <w:r>
        <w:br/>
      </w:r>
      <w:r>
        <w:rPr>
          <w:rFonts w:ascii="Times New Roman"/>
          <w:b w:val="false"/>
          <w:i w:val="false"/>
          <w:color w:val="000000"/>
          <w:sz w:val="28"/>
        </w:rPr>
        <w:t>
</w:t>
      </w:r>
      <w:r>
        <w:rPr>
          <w:rFonts w:ascii="Times New Roman"/>
          <w:b w:val="false"/>
          <w:i w:val="false"/>
          <w:color w:val="000000"/>
          <w:sz w:val="28"/>
        </w:rPr>
        <w:t>
      56. Каждая транзакция общего процесса сопровождается иллюстрацией, выполненной с использованием графической нотации в соответствии с требованиями, приводимыми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57. Описание транзакции общего процесса приводится в табличной форме согласно следующему образцу: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000"/>
        <w:gridCol w:w="7143"/>
      </w:tblGrid>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142"/>
        <w:gridCol w:w="6858"/>
      </w:tblGrid>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21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P.OT.01.TRN.001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заявки на получение права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заявке на получение права для публикации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публикации в реестре заявок на получение права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получение права (P.OT.01.BEN.001): опубликована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заявке на получение права (P.OT.01.MSG.001)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публикации сведений заявки на получение права (P.OT.01.MSG.008)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2" w:id="47"/>
    <w:p>
      <w:pPr>
        <w:spacing w:after="0"/>
        <w:ind w:left="0"/>
        <w:jc w:val="both"/>
      </w:pPr>
      <w:r>
        <w:rPr>
          <w:rFonts w:ascii="Times New Roman"/>
          <w:b w:val="false"/>
          <w:i w:val="false"/>
          <w:color w:val="000000"/>
          <w:sz w:val="28"/>
        </w:rPr>
        <w:t xml:space="preserve">
5. Требования к разделу «Порядок действий </w:t>
      </w:r>
      <w:r>
        <w:br/>
      </w:r>
      <w:r>
        <w:rPr>
          <w:rFonts w:ascii="Times New Roman"/>
          <w:b w:val="false"/>
          <w:i w:val="false"/>
          <w:color w:val="000000"/>
          <w:sz w:val="28"/>
        </w:rPr>
        <w:t>
в нештатных ситуациях»</w:t>
      </w:r>
    </w:p>
    <w:bookmarkEnd w:id="47"/>
    <w:bookmarkStart w:name="z83" w:id="48"/>
    <w:p>
      <w:pPr>
        <w:spacing w:after="0"/>
        <w:ind w:left="0"/>
        <w:jc w:val="both"/>
      </w:pPr>
      <w:r>
        <w:rPr>
          <w:rFonts w:ascii="Times New Roman"/>
          <w:b w:val="false"/>
          <w:i w:val="false"/>
          <w:color w:val="000000"/>
          <w:sz w:val="28"/>
        </w:rPr>
        <w:t>
      58. В разделе при описании порядка действий в нештатных ситуациях приводится перечень нештатных ситуаций, возникновение которых возможно при выполнении транзакций общего процесса, и последовательность действий участников общего процесса при их возникновении. Например:</w:t>
      </w:r>
    </w:p>
    <w:bookmarkEnd w:id="48"/>
    <w:p>
      <w:pPr>
        <w:spacing w:after="0"/>
        <w:ind w:left="0"/>
        <w:jc w:val="both"/>
      </w:pPr>
      <w:r>
        <w:rPr>
          <w:rFonts w:ascii="Times New Roman"/>
          <w:b w:val="false"/>
          <w:i w:val="false"/>
          <w:color w:val="000000"/>
          <w:sz w:val="28"/>
        </w:rPr>
        <w:t>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могут возникать при технических сбоях, истечении установленного времени ожидания и в иных случаях.</w:t>
      </w:r>
    </w:p>
    <w:bookmarkStart w:name="z84" w:id="49"/>
    <w:p>
      <w:pPr>
        <w:spacing w:after="0"/>
        <w:ind w:left="0"/>
        <w:jc w:val="both"/>
      </w:pPr>
      <w:r>
        <w:rPr>
          <w:rFonts w:ascii="Times New Roman"/>
          <w:b w:val="false"/>
          <w:i w:val="false"/>
          <w:color w:val="000000"/>
          <w:sz w:val="28"/>
        </w:rPr>
        <w:t>
      59. Для каждой нештатной ситуации в разделе приводится описание с указанием возможных причин ее возникновения, а также определяется порядок действий при разрешении нештатной ситуации. Последовательность действий участников общего процесса описывается в разделе с учетом положений </w:t>
      </w:r>
      <w:r>
        <w:rPr>
          <w:rFonts w:ascii="Times New Roman"/>
          <w:b w:val="false"/>
          <w:i w:val="false"/>
          <w:color w:val="000000"/>
          <w:sz w:val="28"/>
        </w:rPr>
        <w:t>подраздела 6</w:t>
      </w:r>
      <w:r>
        <w:rPr>
          <w:rFonts w:ascii="Times New Roman"/>
          <w:b w:val="false"/>
          <w:i w:val="false"/>
          <w:color w:val="000000"/>
          <w:sz w:val="28"/>
        </w:rPr>
        <w:t xml:space="preserve"> раздела V настоящей Методики. Например:</w:t>
      </w:r>
    </w:p>
    <w:bookmarkEnd w:id="49"/>
    <w:p>
      <w:pPr>
        <w:spacing w:after="0"/>
        <w:ind w:left="0"/>
        <w:jc w:val="both"/>
      </w:pPr>
      <w:r>
        <w:rPr>
          <w:rFonts w:ascii="Times New Roman"/>
          <w:b w:val="false"/>
          <w:i w:val="false"/>
          <w:color w:val="000000"/>
          <w:sz w:val="28"/>
        </w:rPr>
        <w:t>      Для получения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системы.</w:t>
      </w:r>
      <w:r>
        <w:br/>
      </w:r>
      <w:r>
        <w:rPr>
          <w:rFonts w:ascii="Times New Roman"/>
          <w:b w:val="false"/>
          <w:i w:val="false"/>
          <w:color w:val="000000"/>
          <w:sz w:val="28"/>
        </w:rPr>
        <w:t>
      Уполномоченный орган государства-члена проводит проверку сообщения, в связи с которым получено уведомление об ошибке:</w:t>
      </w:r>
      <w:r>
        <w:br/>
      </w:r>
      <w:r>
        <w:rPr>
          <w:rFonts w:ascii="Times New Roman"/>
          <w:b w:val="false"/>
          <w:i w:val="false"/>
          <w:color w:val="000000"/>
          <w:sz w:val="28"/>
        </w:rPr>
        <w:t>
      на соответствие действующей версии описания форматов электронных документов и сведений, используемых для реализации общего процесса, требованиям к контролю сообщений,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на предмет отсутствия ошибок структурного и логического контроля.</w:t>
      </w:r>
      <w:r>
        <w:br/>
      </w:r>
      <w:r>
        <w:rPr>
          <w:rFonts w:ascii="Times New Roman"/>
          <w:b w:val="false"/>
          <w:i w:val="false"/>
          <w:color w:val="000000"/>
          <w:sz w:val="28"/>
        </w:rPr>
        <w:t>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системы.</w:t>
      </w:r>
    </w:p>
    <w:bookmarkStart w:name="z85" w:id="50"/>
    <w:p>
      <w:pPr>
        <w:spacing w:after="0"/>
        <w:ind w:left="0"/>
        <w:jc w:val="both"/>
      </w:pPr>
      <w:r>
        <w:rPr>
          <w:rFonts w:ascii="Times New Roman"/>
          <w:b w:val="false"/>
          <w:i w:val="false"/>
          <w:color w:val="000000"/>
          <w:sz w:val="28"/>
        </w:rPr>
        <w:t>
      60. Перечень действий в нештатных ситуациях может приводиться в табличной форме согласно следующему образцу: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285"/>
        <w:gridCol w:w="3429"/>
        <w:gridCol w:w="4858"/>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 при возникновении нештатной ситуации</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3428"/>
        <w:gridCol w:w="3429"/>
        <w:gridCol w:w="4858"/>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 при возникновении нештатной ситуации</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односторонней транзакции общего процесса не получил уведомление о принятии в обработку сообщения-уведомления после истечения установленного времени и количества повторов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необходимо направить запрос в службу технической поддержки национального сегмента, </w:t>
            </w:r>
            <w:r>
              <w:br/>
            </w:r>
            <w:r>
              <w:rPr>
                <w:rFonts w:ascii="Times New Roman"/>
                <w:b w:val="false"/>
                <w:i w:val="false"/>
                <w:color w:val="000000"/>
                <w:sz w:val="20"/>
              </w:rPr>
              <w:t>
</w:t>
            </w:r>
            <w:r>
              <w:rPr>
                <w:rFonts w:ascii="Times New Roman"/>
                <w:b w:val="false"/>
                <w:i w:val="false"/>
                <w:color w:val="000000"/>
                <w:sz w:val="20"/>
              </w:rPr>
              <w:t>в который было отправлено сообщение</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 односторонней транзакции общего процесса не смог обработать сообщение-запрос или сообщение-уведомление после того, как отправил инициатору уведомление о принятии в обработку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системная ошибка программного обеспечения на стороне принимающего участника</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в службу технической поддержки национального сегмента, в котором было сформировано сообщение, запрос, содержащий идентификатор транзакции общего процесса, которая не может быть обработана в штатном режиме, для повторного инициирования транзакции общего процесса</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синхронизированы справочники и классификаторы или не обновлены XML-схемы электронных документов и сведений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Если справочники и классификаторы синхронизированы, XML-схемы электронных документов и сведений обновлены, необходимо направить запрос в службу поддержки принимающего участника</w:t>
            </w:r>
          </w:p>
        </w:tc>
      </w:tr>
    </w:tbl>
    <w:bookmarkStart w:name="z86" w:id="51"/>
    <w:p>
      <w:pPr>
        <w:spacing w:after="0"/>
        <w:ind w:left="0"/>
        <w:jc w:val="both"/>
      </w:pPr>
      <w:r>
        <w:rPr>
          <w:rFonts w:ascii="Times New Roman"/>
          <w:b w:val="false"/>
          <w:i w:val="false"/>
          <w:color w:val="000000"/>
          <w:sz w:val="28"/>
        </w:rPr>
        <w:t>
6. Требования к разделу «Требования к заполнению</w:t>
      </w:r>
      <w:r>
        <w:br/>
      </w:r>
      <w:r>
        <w:rPr>
          <w:rFonts w:ascii="Times New Roman"/>
          <w:b w:val="false"/>
          <w:i w:val="false"/>
          <w:color w:val="000000"/>
          <w:sz w:val="28"/>
        </w:rPr>
        <w:t>
электронных документов и сведений»</w:t>
      </w:r>
    </w:p>
    <w:bookmarkEnd w:id="51"/>
    <w:bookmarkStart w:name="z87" w:id="52"/>
    <w:p>
      <w:pPr>
        <w:spacing w:after="0"/>
        <w:ind w:left="0"/>
        <w:jc w:val="both"/>
      </w:pPr>
      <w:r>
        <w:rPr>
          <w:rFonts w:ascii="Times New Roman"/>
          <w:b w:val="false"/>
          <w:i w:val="false"/>
          <w:color w:val="000000"/>
          <w:sz w:val="28"/>
        </w:rPr>
        <w:t>
      61. Требования к заполнению отдельных реквизитов электронных документов и сведений, передаваемых в рамках сообщений общего процесса, приводятся в разделе в табличной форме согласно следующему образцу: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45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1455"/>
      </w:tblGrid>
      <w:tr>
        <w:trPr>
          <w:trHeight w:val="31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структуре электронного документа (сведений) передается одна запись реестра заявок на получение права</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является обязательным для заполнения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не заполняется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«Идентификационный номер заявки на получение права» (otsdo:ApplicationId) не совпадает ни с одной записью реестра заявок на получение права</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«Идентификационный номер заявки на получение права, преобразуемой в национальную» (otsdo:ReformedApplicationId) не заполняется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реквизите «Сведения о заявителе» (otcdo:ApplicantDetails) должен быть заполнен один из реквизитов: «Реквизиты юридического лица» (ccdo:OrganizationDetails) или «ФИО» (ccdo:FullNameDetails); одновременное заполнение реквизитов «Реквизиты юридического лица» (ccdo:OrganizationDetails) и «ФИО» (ccdo:FullNameDetails) не допускается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реквизите «Сведения о заявителе» (otcdo:ApplicantDetails) не заполняются реквизиты «Дополнительный адрес» (ccdo:AdditionalAddressDetails) и «Банковские реквизиты» (ccdo:BankingDetails)</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реквизите «Сведения о заявителе» (otcdo:ApplicantDetails) реквизиты «Налогоплательщик» (ccdo:TaxpayerDetails), «Адрес» (ccdo:AddressDetails), «Контактный реквизит» (ccdo:CommunicationDetails) заполняются обязательно</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«ФИО» (ccdo:FullNameDetails) заполнен, то в реквизите «Сведения о заявителе» (otcdo:ApplicantDetails) заполняется реквизит «Удостоверение личности» (ccdo:IdentityDocDetails)</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«ФИО» (ccdo:FullNameDetails) не заполнен, то в реквизите «Сведения о заявителе» (otcdo:ApplicantDetails) </w:t>
            </w:r>
            <w:r>
              <w:br/>
            </w:r>
            <w:r>
              <w:rPr>
                <w:rFonts w:ascii="Times New Roman"/>
                <w:b w:val="false"/>
                <w:i w:val="false"/>
                <w:color w:val="000000"/>
                <w:sz w:val="20"/>
              </w:rPr>
              <w:t>
</w:t>
            </w:r>
            <w:r>
              <w:rPr>
                <w:rFonts w:ascii="Times New Roman"/>
                <w:b w:val="false"/>
                <w:i w:val="false"/>
                <w:color w:val="000000"/>
                <w:sz w:val="20"/>
              </w:rPr>
              <w:t>не заполняется реквизит «Удостоверение личности» (ccdo:IdentityDocDetails)</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реквизите «Адрес» (ccdo:AddressDetails) в составе любых реквизитов обязательно заполняется совокупность реквизитов: «Код страны» (csdo:CountryCode), «Почтовый индекс» (csdo:PostCode), «Город» (csdo:CityName) или «Населенный пункт» (csdo:SettlementName), «Улица» (csdo:StreetName), «Номер дома» (csdo:BuildingNumberId) или совокупность реквизитов: «Адрес в текстовой форме» (csdo:AddressText) и «Код страны» (csdo:CountryCode)</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реквизите «ФИО» (ccdo:FullNameDetails) обязательно заполняются реквизиты «Имя» (csdo:FirstName) и «Фамилия» (csdo:LastName)</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«Идентификационный номер полученного права» (otsdo:LawId) не заполняется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«Сведения о национальном ведомстве» (otcdo:PatentAuthorityDetails) не заполняется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«Решение национального ведомства» (otsdo:PatentAuthorityDecreeText) не заполняется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регистрации полученного права» (otsdo:LawRegistrationDate) не заполняется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«Сведения об отказе» (otcdo:RefusalDetails) не заполняется</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реквизите «Сведения об уполномоченном органе» (otcdo:AuthorityDetails) обязательно заполняются реквизиты «Код страны» (csdo:CountryCode) и «Наименование уполномоченного органа» (csdo:AuthorityName)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«Статус заявки на получение права» (otsdo:ApplicationStatusCode) должно быть равно 1</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«Сведения о нарушении полученного права» (otsdo:LawViolationText) не заполняется</w:t>
            </w:r>
          </w:p>
        </w:tc>
      </w:tr>
    </w:tbl>
    <w:bookmarkStart w:name="z88" w:id="53"/>
    <w:p>
      <w:pPr>
        <w:spacing w:after="0"/>
        <w:ind w:left="0"/>
        <w:jc w:val="both"/>
      </w:pPr>
      <w:r>
        <w:rPr>
          <w:rFonts w:ascii="Times New Roman"/>
          <w:b w:val="false"/>
          <w:i w:val="false"/>
          <w:color w:val="000000"/>
          <w:sz w:val="28"/>
        </w:rPr>
        <w:t>
      62. Требования к заполнению реквизитов электронного документа (сведений) приводятся по каждому электронному документу (сведениям), передаваемому в сообщении общего процесса.</w:t>
      </w:r>
    </w:p>
    <w:bookmarkEnd w:id="53"/>
    <w:bookmarkStart w:name="z89" w:id="54"/>
    <w:p>
      <w:pPr>
        <w:spacing w:after="0"/>
        <w:ind w:left="0"/>
        <w:jc w:val="left"/>
      </w:pPr>
      <w:r>
        <w:rPr>
          <w:rFonts w:ascii="Times New Roman"/>
          <w:b/>
          <w:i w:val="false"/>
          <w:color w:val="000000"/>
        </w:rPr>
        <w:t xml:space="preserve"> 
VI. Технические требования</w:t>
      </w:r>
      <w:r>
        <w:br/>
      </w:r>
      <w:r>
        <w:rPr>
          <w:rFonts w:ascii="Times New Roman"/>
          <w:b/>
          <w:i w:val="false"/>
          <w:color w:val="000000"/>
        </w:rPr>
        <w:t>
к проектированию и описанию общего процесса</w:t>
      </w:r>
      <w:r>
        <w:br/>
      </w:r>
      <w:r>
        <w:rPr>
          <w:rFonts w:ascii="Times New Roman"/>
          <w:b/>
          <w:i w:val="false"/>
          <w:color w:val="000000"/>
        </w:rPr>
        <w:t>
в разделе «Структуры электронных документов и сведений»</w:t>
      </w:r>
      <w:r>
        <w:br/>
      </w:r>
      <w:r>
        <w:rPr>
          <w:rFonts w:ascii="Times New Roman"/>
          <w:b/>
          <w:i w:val="false"/>
          <w:color w:val="000000"/>
        </w:rPr>
        <w:t>
описания форматов и структур электронных документов</w:t>
      </w:r>
      <w:r>
        <w:br/>
      </w:r>
      <w:r>
        <w:rPr>
          <w:rFonts w:ascii="Times New Roman"/>
          <w:b/>
          <w:i w:val="false"/>
          <w:color w:val="000000"/>
        </w:rPr>
        <w:t xml:space="preserve">
и сведений, используемых для реализации средствами </w:t>
      </w:r>
      <w:r>
        <w:br/>
      </w:r>
      <w:r>
        <w:rPr>
          <w:rFonts w:ascii="Times New Roman"/>
          <w:b/>
          <w:i w:val="false"/>
          <w:color w:val="000000"/>
        </w:rPr>
        <w:t>
интегрированной системы общего процесса</w:t>
      </w:r>
    </w:p>
    <w:bookmarkEnd w:id="54"/>
    <w:bookmarkStart w:name="z90" w:id="55"/>
    <w:p>
      <w:pPr>
        <w:spacing w:after="0"/>
        <w:ind w:left="0"/>
        <w:jc w:val="both"/>
      </w:pPr>
      <w:r>
        <w:rPr>
          <w:rFonts w:ascii="Times New Roman"/>
          <w:b w:val="false"/>
          <w:i w:val="false"/>
          <w:color w:val="000000"/>
          <w:sz w:val="28"/>
        </w:rPr>
        <w:t>
      63. Сводный перечень и детализированные описания структур электронных документов и сведений, используемых при информационном взаимодействии, приводятся в разделе «Структуры электронных документов и сведений» описания форматов и структур электронных документов и сведений, используемых для реализации средствами интегрированной системы общего процесса (далее – описание форматов, структур и сведений), и группируются по моделям данных.</w:t>
      </w:r>
      <w:r>
        <w:br/>
      </w:r>
      <w:r>
        <w:rPr>
          <w:rFonts w:ascii="Times New Roman"/>
          <w:b w:val="false"/>
          <w:i w:val="false"/>
          <w:color w:val="000000"/>
          <w:sz w:val="28"/>
        </w:rPr>
        <w:t>
      Сначала приводят структуры электронных документов и сведений, разработанные исключительно на основе базисной модели данных, затем – структуры электронных документов и сведений, разработанные на основе каждой из моделей данных предметных областей.</w:t>
      </w:r>
      <w:r>
        <w:br/>
      </w:r>
      <w:r>
        <w:rPr>
          <w:rFonts w:ascii="Times New Roman"/>
          <w:b w:val="false"/>
          <w:i w:val="false"/>
          <w:color w:val="000000"/>
          <w:sz w:val="28"/>
        </w:rPr>
        <w:t>
      Перечень структур электронных документов и сведений, приводятся в табличной форме согласно следующему образцу: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142"/>
        <w:gridCol w:w="4000"/>
        <w:gridCol w:w="6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  в базисной модели</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 в предметной области</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407"/>
        <w:gridCol w:w="2832"/>
        <w:gridCol w:w="821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 в базисной модели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urn:EEC:R:ProcessingResultDetails:v0.4.0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urn:EEC:R:ResourceStatusDetails:v0.4.0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 в предметной области «Право»</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R.OT.OT.01.001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регистрацию полученного права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urn:EEC:R:OT:OT:01:AbstractLawApplication:v0.3.0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R.OT.OT.01.002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заявках на получение права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urn:EEC:R:OT:OT:01:AbstractLawReportDetails:v0.3.0</w:t>
            </w:r>
          </w:p>
        </w:tc>
      </w:tr>
    </w:tbl>
    <w:bookmarkStart w:name="z91" w:id="56"/>
    <w:p>
      <w:pPr>
        <w:spacing w:after="0"/>
        <w:ind w:left="0"/>
        <w:jc w:val="both"/>
      </w:pPr>
      <w:r>
        <w:rPr>
          <w:rFonts w:ascii="Times New Roman"/>
          <w:b w:val="false"/>
          <w:i w:val="false"/>
          <w:color w:val="000000"/>
          <w:sz w:val="28"/>
        </w:rPr>
        <w:t>
      64. Описание формата и структур электронных документов и сведений приводится с указанием имен, идентификаторов, версий, полного структурированного перечня реквизитов с определением типа данных и множественности для каждого реквизита.</w:t>
      </w:r>
      <w:r>
        <w:br/>
      </w:r>
      <w:r>
        <w:rPr>
          <w:rFonts w:ascii="Times New Roman"/>
          <w:b w:val="false"/>
          <w:i w:val="false"/>
          <w:color w:val="000000"/>
          <w:sz w:val="28"/>
        </w:rPr>
        <w:t>
</w:t>
      </w:r>
      <w:r>
        <w:rPr>
          <w:rFonts w:ascii="Times New Roman"/>
          <w:b w:val="false"/>
          <w:i w:val="false"/>
          <w:color w:val="000000"/>
          <w:sz w:val="28"/>
        </w:rPr>
        <w:t>
      65. В разделе выделяются подразделы, в каждом из которых приводится описание отдельной структуры электронного документа (сведений), которое оформляется в табличной форме согласно следующему образцу: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022"/>
        <w:gridCol w:w="9227"/>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798"/>
        <w:gridCol w:w="9242"/>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запроса респондентом</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urn:EEC:R:ProcessingResultDetails:v0.4.0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ProcessingResultDetails</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EEC_R_ProcessingResultDetails_v0.4.0.xsd</w:t>
            </w:r>
          </w:p>
        </w:tc>
      </w:tr>
    </w:tbl>
    <w:bookmarkStart w:name="z93" w:id="57"/>
    <w:p>
      <w:pPr>
        <w:spacing w:after="0"/>
        <w:ind w:left="0"/>
        <w:jc w:val="both"/>
      </w:pPr>
      <w:r>
        <w:rPr>
          <w:rFonts w:ascii="Times New Roman"/>
          <w:b w:val="false"/>
          <w:i w:val="false"/>
          <w:color w:val="000000"/>
          <w:sz w:val="28"/>
        </w:rPr>
        <w:t>
      66. Импортируемые пространства имен (пространства имен, объекты которых использованы при проектировании объектов данного пространства имен) оформляются в табличной форме согласно следующему образцу: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25"/>
        <w:gridCol w:w="3516"/>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02"/>
        <w:gridCol w:w="3539"/>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urn:EEC:M:ComplexDataObjects:v0.4.0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urn:EEC:M:SimpleDataObjects:v0.4.0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p>
      <w:pPr>
        <w:spacing w:after="0"/>
        <w:ind w:left="0"/>
        <w:jc w:val="both"/>
      </w:pPr>
      <w:r>
        <w:rPr>
          <w:rFonts w:ascii="Times New Roman"/>
          <w:b w:val="false"/>
          <w:i w:val="false"/>
          <w:color w:val="000000"/>
          <w:sz w:val="28"/>
        </w:rPr>
        <w:t>      При оформлении строк таблицы с реквизитным составом структуры электронного документа (сведений) боковик имеет смещенную вправо линейку для обозначения следующего уровня древовидной структуры. В боковике указывается порядковый номер и имя реквизита структуры электронного документа (сведений).</w:t>
      </w:r>
      <w:r>
        <w:br/>
      </w:r>
      <w:r>
        <w:rPr>
          <w:rFonts w:ascii="Times New Roman"/>
          <w:b w:val="false"/>
          <w:i w:val="false"/>
          <w:color w:val="000000"/>
          <w:sz w:val="28"/>
        </w:rPr>
        <w:t>
      Реквизитный состав структуры электронного документа (сведений) приводится в табличной форме согласно следующему образцу: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3000"/>
        <w:gridCol w:w="2285"/>
        <w:gridCol w:w="3000"/>
        <w:gridCol w:w="1714"/>
        <w:gridCol w:w="3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Множественность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Множест-венность (Мн.)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 \.[0-9]{3}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со стандартом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со стандартом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естественного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со стандартом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результата обработки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результата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csdo:(M.SDT.90005).</w:t>
            </w:r>
            <w:r>
              <w:br/>
            </w:r>
            <w:r>
              <w:rPr>
                <w:rFonts w:ascii="Times New Roman"/>
                <w:b w:val="false"/>
                <w:i w:val="false"/>
                <w:color w:val="000000"/>
                <w:sz w:val="20"/>
              </w:rPr>
              <w:t>
</w:t>
            </w:r>
            <w:r>
              <w:rPr>
                <w:rFonts w:ascii="Times New Roman"/>
                <w:b w:val="false"/>
                <w:i w:val="false"/>
                <w:color w:val="000000"/>
                <w:sz w:val="20"/>
              </w:rPr>
              <w:t>Строка десятичных цифр.</w:t>
            </w:r>
            <w:r>
              <w:br/>
            </w:r>
            <w:r>
              <w:rPr>
                <w:rFonts w:ascii="Times New Roman"/>
                <w:b w:val="false"/>
                <w:i w:val="false"/>
                <w:color w:val="000000"/>
                <w:sz w:val="20"/>
              </w:rPr>
              <w:t>
</w:t>
            </w:r>
            <w:r>
              <w:rPr>
                <w:rFonts w:ascii="Times New Roman"/>
                <w:b w:val="false"/>
                <w:i w:val="false"/>
                <w:color w:val="000000"/>
                <w:sz w:val="20"/>
              </w:rPr>
              <w:t>Возможные значения: 1 – сведения отсутствуют; 2 – сведения получены;</w:t>
            </w:r>
            <w:r>
              <w:br/>
            </w:r>
            <w:r>
              <w:rPr>
                <w:rFonts w:ascii="Times New Roman"/>
                <w:b w:val="false"/>
                <w:i w:val="false"/>
                <w:color w:val="000000"/>
                <w:sz w:val="20"/>
              </w:rPr>
              <w:t>
</w:t>
            </w:r>
            <w:r>
              <w:rPr>
                <w:rFonts w:ascii="Times New Roman"/>
                <w:b w:val="false"/>
                <w:i w:val="false"/>
                <w:color w:val="000000"/>
                <w:sz w:val="20"/>
              </w:rPr>
              <w:t>3 – сведения добавлены; 4 – сведения изменены; 5 – сведения удалены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 (csdo:DescriptionText)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 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94" w:id="58"/>
    <w:p>
      <w:pPr>
        <w:spacing w:after="0"/>
        <w:ind w:left="0"/>
        <w:jc w:val="both"/>
      </w:pPr>
      <w:r>
        <w:rPr>
          <w:rFonts w:ascii="Times New Roman"/>
          <w:b w:val="false"/>
          <w:i w:val="false"/>
          <w:color w:val="000000"/>
          <w:sz w:val="28"/>
        </w:rPr>
        <w:t>
      68. В графе «Имя реквизита» первым реквизитом приводится заголовок электронного документа (сведений), который состоит из следующих элементов:</w:t>
      </w:r>
      <w:r>
        <w:br/>
      </w:r>
      <w:r>
        <w:rPr>
          <w:rFonts w:ascii="Times New Roman"/>
          <w:b w:val="false"/>
          <w:i w:val="false"/>
          <w:color w:val="000000"/>
          <w:sz w:val="28"/>
        </w:rPr>
        <w:t>
      код сообщения общего процесса – кодовое обозначение сообщения общего процесса в соответствии с регламентом информационного взаимодействия;</w:t>
      </w:r>
      <w:r>
        <w:br/>
      </w:r>
      <w:r>
        <w:rPr>
          <w:rFonts w:ascii="Times New Roman"/>
          <w:b w:val="false"/>
          <w:i w:val="false"/>
          <w:color w:val="000000"/>
          <w:sz w:val="28"/>
        </w:rPr>
        <w:t>
      код электронного документа (сведений) – кодовое обозначение электронного документа (сведений) в соответствии с реестром структур электронных документов и сведений;</w:t>
      </w:r>
      <w:r>
        <w:br/>
      </w:r>
      <w:r>
        <w:rPr>
          <w:rFonts w:ascii="Times New Roman"/>
          <w:b w:val="false"/>
          <w:i w:val="false"/>
          <w:color w:val="000000"/>
          <w:sz w:val="28"/>
        </w:rPr>
        <w:t>
      идентификатор электронного документа (сведений) – строка символов, однозначно идентифицирующая электронный документ (сведения) в соответствии со стандартом ISO/IEC 9834-8;</w:t>
      </w:r>
      <w:r>
        <w:br/>
      </w:r>
      <w:r>
        <w:rPr>
          <w:rFonts w:ascii="Times New Roman"/>
          <w:b w:val="false"/>
          <w:i w:val="false"/>
          <w:color w:val="000000"/>
          <w:sz w:val="28"/>
        </w:rPr>
        <w:t>
      идентификатор исходного электронного документа (сведений) – идентификатор электронного документа (сведений), в ответ на который был сформирован данный электронный документ (сведения);</w:t>
      </w:r>
      <w:r>
        <w:br/>
      </w:r>
      <w:r>
        <w:rPr>
          <w:rFonts w:ascii="Times New Roman"/>
          <w:b w:val="false"/>
          <w:i w:val="false"/>
          <w:color w:val="000000"/>
          <w:sz w:val="28"/>
        </w:rPr>
        <w:t>
      дата и время электронного документа (сведений) – обозначение даты и времени создания электронного документа (сведений) в соответствии с ГОСТ ИСО 8601–2001;</w:t>
      </w:r>
      <w:r>
        <w:br/>
      </w:r>
      <w:r>
        <w:rPr>
          <w:rFonts w:ascii="Times New Roman"/>
          <w:b w:val="false"/>
          <w:i w:val="false"/>
          <w:color w:val="000000"/>
          <w:sz w:val="28"/>
        </w:rPr>
        <w:t>
      код языка – кодовое обозначение естественного языка в соответствии со стандартом ISO 639-1.</w:t>
      </w:r>
      <w:r>
        <w:br/>
      </w:r>
      <w:r>
        <w:rPr>
          <w:rFonts w:ascii="Times New Roman"/>
          <w:b w:val="false"/>
          <w:i w:val="false"/>
          <w:color w:val="000000"/>
          <w:sz w:val="28"/>
        </w:rPr>
        <w:t>
      В зависимости от вида электронного документа (сведений) в указанной графе приводятся следующие реквизиты: дата и время (обновления); код результата обработки документа; код страны; объект учета; реквизиты юридического лица, другие.</w:t>
      </w:r>
    </w:p>
    <w:bookmarkEnd w:id="58"/>
    <w:bookmarkStart w:name="z95" w:id="59"/>
    <w:p>
      <w:pPr>
        <w:spacing w:after="0"/>
        <w:ind w:left="0"/>
        <w:jc w:val="left"/>
      </w:pPr>
      <w:r>
        <w:rPr>
          <w:rFonts w:ascii="Times New Roman"/>
          <w:b/>
          <w:i w:val="false"/>
          <w:color w:val="000000"/>
        </w:rPr>
        <w:t xml:space="preserve"> 
VII. Технические требования</w:t>
      </w:r>
      <w:r>
        <w:br/>
      </w:r>
      <w:r>
        <w:rPr>
          <w:rFonts w:ascii="Times New Roman"/>
          <w:b/>
          <w:i w:val="false"/>
          <w:color w:val="000000"/>
        </w:rPr>
        <w:t>
к проектированию и описанию общего процесса</w:t>
      </w:r>
      <w:r>
        <w:br/>
      </w:r>
      <w:r>
        <w:rPr>
          <w:rFonts w:ascii="Times New Roman"/>
          <w:b/>
          <w:i w:val="false"/>
          <w:color w:val="000000"/>
        </w:rPr>
        <w:t>
в порядке присоединения к общему процессу</w:t>
      </w:r>
    </w:p>
    <w:bookmarkEnd w:id="59"/>
    <w:bookmarkStart w:name="z96" w:id="60"/>
    <w:p>
      <w:pPr>
        <w:spacing w:after="0"/>
        <w:ind w:left="0"/>
        <w:jc w:val="both"/>
      </w:pPr>
      <w:r>
        <w:rPr>
          <w:rFonts w:ascii="Times New Roman"/>
          <w:b w:val="false"/>
          <w:i w:val="false"/>
          <w:color w:val="000000"/>
          <w:sz w:val="28"/>
        </w:rPr>
        <w:t>
1. Требования к разделу «Участники взаимодействия»</w:t>
      </w:r>
    </w:p>
    <w:bookmarkEnd w:id="60"/>
    <w:bookmarkStart w:name="z97" w:id="61"/>
    <w:p>
      <w:pPr>
        <w:spacing w:after="0"/>
        <w:ind w:left="0"/>
        <w:jc w:val="both"/>
      </w:pPr>
      <w:r>
        <w:rPr>
          <w:rFonts w:ascii="Times New Roman"/>
          <w:b w:val="false"/>
          <w:i w:val="false"/>
          <w:color w:val="000000"/>
          <w:sz w:val="28"/>
        </w:rPr>
        <w:t>
      69. Функциональные роли участников взаимодействия при выполнении ими предварительных (временных) процедур до присоединения нового участника к общему процессу описываются в разделе в табличной форме согласно следующему образцу: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4290"/>
        <w:gridCol w:w="4266"/>
        <w:gridCol w:w="447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4290"/>
        <w:gridCol w:w="4266"/>
        <w:gridCol w:w="4477"/>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Координатор</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отвечает за формирование и ведение реестра заявок на получение права, предоставляет доступ к сведениям, содержащимся в данном реестре</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(P.ACT.001)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Регистратор</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отвечает за ведение национального информационного ресурса, содержащего сведения о заявках на получение права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(P.OT.01.ACT.003)</w:t>
            </w:r>
          </w:p>
        </w:tc>
      </w:tr>
    </w:tbl>
    <w:bookmarkStart w:name="z98" w:id="62"/>
    <w:p>
      <w:pPr>
        <w:spacing w:after="0"/>
        <w:ind w:left="0"/>
        <w:jc w:val="both"/>
      </w:pPr>
      <w:r>
        <w:rPr>
          <w:rFonts w:ascii="Times New Roman"/>
          <w:b w:val="false"/>
          <w:i w:val="false"/>
          <w:color w:val="000000"/>
          <w:sz w:val="28"/>
        </w:rPr>
        <w:t>
2. Требования к разделу</w:t>
      </w:r>
      <w:r>
        <w:br/>
      </w:r>
      <w:r>
        <w:rPr>
          <w:rFonts w:ascii="Times New Roman"/>
          <w:b w:val="false"/>
          <w:i w:val="false"/>
          <w:color w:val="000000"/>
          <w:sz w:val="28"/>
        </w:rPr>
        <w:t>
«Описание процедуры присоединения»</w:t>
      </w:r>
    </w:p>
    <w:bookmarkEnd w:id="62"/>
    <w:bookmarkStart w:name="z99" w:id="63"/>
    <w:p>
      <w:pPr>
        <w:spacing w:after="0"/>
        <w:ind w:left="0"/>
        <w:jc w:val="both"/>
      </w:pPr>
      <w:r>
        <w:rPr>
          <w:rFonts w:ascii="Times New Roman"/>
          <w:b w:val="false"/>
          <w:i w:val="false"/>
          <w:color w:val="000000"/>
          <w:sz w:val="28"/>
        </w:rPr>
        <w:t>
      70. Описание предварительных (временных) процедур, выполнение которых осуществляется до присоединения нового участника к общему процессу (например, описание порядка обмена справочниками и классификаторами), порядка выполнения процедуры присоединения приводится в текстовой форме.</w:t>
      </w:r>
      <w:r>
        <w:br/>
      </w:r>
      <w:r>
        <w:rPr>
          <w:rFonts w:ascii="Times New Roman"/>
          <w:b w:val="false"/>
          <w:i w:val="false"/>
          <w:color w:val="000000"/>
          <w:sz w:val="28"/>
        </w:rPr>
        <w:t>
</w:t>
      </w:r>
      <w:r>
        <w:rPr>
          <w:rFonts w:ascii="Times New Roman"/>
          <w:b w:val="false"/>
          <w:i w:val="false"/>
          <w:color w:val="000000"/>
          <w:sz w:val="28"/>
        </w:rPr>
        <w:t>
      71. В разделе могут быть выделены подразделы, сгруппированные по видам процедур или этапам присоединения к общему процессу в хронологической или иной последовательности.</w:t>
      </w:r>
      <w:r>
        <w:br/>
      </w:r>
      <w:r>
        <w:rPr>
          <w:rFonts w:ascii="Times New Roman"/>
          <w:b w:val="false"/>
          <w:i w:val="false"/>
          <w:color w:val="000000"/>
          <w:sz w:val="28"/>
        </w:rPr>
        <w:t>
      В самостоятельные подразделы могут быть сгруппированы положения, регламентирующие порядок взаимодействия по временной схеме, устанавливающие требования к параметрам передачи документов (сведений).</w:t>
      </w:r>
    </w:p>
    <w:bookmarkEnd w:id="63"/>
    <w:bookmarkStart w:name="z101" w:id="64"/>
    <w:p>
      <w:pPr>
        <w:spacing w:after="0"/>
        <w:ind w:left="0"/>
        <w:jc w:val="left"/>
      </w:pPr>
      <w:r>
        <w:rPr>
          <w:rFonts w:ascii="Times New Roman"/>
          <w:b/>
          <w:i w:val="false"/>
          <w:color w:val="000000"/>
        </w:rPr>
        <w:t xml:space="preserve"> 
VIII. Правила кодирования</w:t>
      </w:r>
      <w:r>
        <w:br/>
      </w:r>
      <w:r>
        <w:rPr>
          <w:rFonts w:ascii="Times New Roman"/>
          <w:b/>
          <w:i w:val="false"/>
          <w:color w:val="000000"/>
        </w:rPr>
        <w:t>
объектов модели общих процессов и документов</w:t>
      </w:r>
    </w:p>
    <w:bookmarkEnd w:id="64"/>
    <w:bookmarkStart w:name="z102" w:id="65"/>
    <w:p>
      <w:pPr>
        <w:spacing w:after="0"/>
        <w:ind w:left="0"/>
        <w:jc w:val="both"/>
      </w:pPr>
      <w:r>
        <w:rPr>
          <w:rFonts w:ascii="Times New Roman"/>
          <w:b w:val="false"/>
          <w:i w:val="false"/>
          <w:color w:val="000000"/>
          <w:sz w:val="28"/>
        </w:rPr>
        <w:t>
      72. Кодовые обозначения объектов модели общих процессов и документов формируются с соблюдением следующих правил:</w:t>
      </w:r>
      <w:r>
        <w:br/>
      </w:r>
      <w:r>
        <w:rPr>
          <w:rFonts w:ascii="Times New Roman"/>
          <w:b w:val="false"/>
          <w:i w:val="false"/>
          <w:color w:val="000000"/>
          <w:sz w:val="28"/>
        </w:rPr>
        <w:t>
      а) каждому объекту модели общих процессов (документу) присваивается только одно кодовое обозначение;</w:t>
      </w:r>
      <w:r>
        <w:br/>
      </w:r>
      <w:r>
        <w:rPr>
          <w:rFonts w:ascii="Times New Roman"/>
          <w:b w:val="false"/>
          <w:i w:val="false"/>
          <w:color w:val="000000"/>
          <w:sz w:val="28"/>
        </w:rPr>
        <w:t>
      б) код объекта модели общих процессов (документа) является уникальным в пределах модели общих процессов (документа);</w:t>
      </w:r>
      <w:r>
        <w:br/>
      </w:r>
      <w:r>
        <w:rPr>
          <w:rFonts w:ascii="Times New Roman"/>
          <w:b w:val="false"/>
          <w:i w:val="false"/>
          <w:color w:val="000000"/>
          <w:sz w:val="28"/>
        </w:rPr>
        <w:t>
      в) для кодирования объектов модели общих процессов (документов) применяется фасетный метод.</w:t>
      </w:r>
      <w:r>
        <w:br/>
      </w:r>
      <w:r>
        <w:rPr>
          <w:rFonts w:ascii="Times New Roman"/>
          <w:b w:val="false"/>
          <w:i w:val="false"/>
          <w:color w:val="000000"/>
          <w:sz w:val="28"/>
        </w:rPr>
        <w:t>
</w:t>
      </w:r>
      <w:r>
        <w:rPr>
          <w:rFonts w:ascii="Times New Roman"/>
          <w:b w:val="false"/>
          <w:i w:val="false"/>
          <w:color w:val="000000"/>
          <w:sz w:val="28"/>
        </w:rPr>
        <w:t>
      73. Применение фасетного метода заключается в следующем:</w:t>
      </w:r>
      <w:r>
        <w:br/>
      </w:r>
      <w:r>
        <w:rPr>
          <w:rFonts w:ascii="Times New Roman"/>
          <w:b w:val="false"/>
          <w:i w:val="false"/>
          <w:color w:val="000000"/>
          <w:sz w:val="28"/>
        </w:rPr>
        <w:t>
      а) каждый фасет содержит совокупность значений одного классификационного признака;</w:t>
      </w:r>
      <w:r>
        <w:br/>
      </w:r>
      <w:r>
        <w:rPr>
          <w:rFonts w:ascii="Times New Roman"/>
          <w:b w:val="false"/>
          <w:i w:val="false"/>
          <w:color w:val="000000"/>
          <w:sz w:val="28"/>
        </w:rPr>
        <w:t>
      б) в качестве разделителя между фасетами для улучшения читаемости используется символ «.» (точка);</w:t>
      </w:r>
      <w:r>
        <w:br/>
      </w:r>
      <w:r>
        <w:rPr>
          <w:rFonts w:ascii="Times New Roman"/>
          <w:b w:val="false"/>
          <w:i w:val="false"/>
          <w:color w:val="000000"/>
          <w:sz w:val="28"/>
        </w:rPr>
        <w:t>
      в) в качестве литерных элементов кода используются только заглавные буквы латинского алфавита;</w:t>
      </w:r>
      <w:r>
        <w:br/>
      </w:r>
      <w:r>
        <w:rPr>
          <w:rFonts w:ascii="Times New Roman"/>
          <w:b w:val="false"/>
          <w:i w:val="false"/>
          <w:color w:val="000000"/>
          <w:sz w:val="28"/>
        </w:rPr>
        <w:t>
      г) в качестве порядковых номеров используются только арабские цифры.</w:t>
      </w:r>
      <w:r>
        <w:br/>
      </w:r>
      <w:r>
        <w:rPr>
          <w:rFonts w:ascii="Times New Roman"/>
          <w:b w:val="false"/>
          <w:i w:val="false"/>
          <w:color w:val="000000"/>
          <w:sz w:val="28"/>
        </w:rPr>
        <w:t>
</w:t>
      </w:r>
      <w:r>
        <w:rPr>
          <w:rFonts w:ascii="Times New Roman"/>
          <w:b w:val="false"/>
          <w:i w:val="false"/>
          <w:color w:val="000000"/>
          <w:sz w:val="28"/>
        </w:rPr>
        <w:t>
      74. Кодовое обозначение, определяющее место объекта модели общих процессов (документа) в иерархии системы классификации, присваивается проектировщиком модели взаимодействия или модели данных предметной области самостоятельно.</w:t>
      </w:r>
      <w:r>
        <w:br/>
      </w:r>
      <w:r>
        <w:rPr>
          <w:rFonts w:ascii="Times New Roman"/>
          <w:b w:val="false"/>
          <w:i w:val="false"/>
          <w:color w:val="000000"/>
          <w:sz w:val="28"/>
        </w:rPr>
        <w:t>
</w:t>
      </w:r>
      <w:r>
        <w:rPr>
          <w:rFonts w:ascii="Times New Roman"/>
          <w:b w:val="false"/>
          <w:i w:val="false"/>
          <w:color w:val="000000"/>
          <w:sz w:val="28"/>
        </w:rPr>
        <w:t>
      75. В кодовом обозначении первые позиции кода представляют собой базовые фасеты, которые определяют основные признаки документов и объектов:</w:t>
      </w:r>
      <w:r>
        <w:br/>
      </w:r>
      <w:r>
        <w:rPr>
          <w:rFonts w:ascii="Times New Roman"/>
          <w:b w:val="false"/>
          <w:i w:val="false"/>
          <w:color w:val="000000"/>
          <w:sz w:val="28"/>
        </w:rPr>
        <w:t>
      первый базовый фасет определяет принадлежность к категории объектов модели общих процессов и состоит из одной литеры (например, «D» – для документов, «M» – для объектов модели данных, «P» – для объектов модели взаимодействия, «R» – для структур электронных документов и сведений);</w:t>
      </w:r>
      <w:r>
        <w:br/>
      </w:r>
      <w:r>
        <w:rPr>
          <w:rFonts w:ascii="Times New Roman"/>
          <w:b w:val="false"/>
          <w:i w:val="false"/>
          <w:color w:val="000000"/>
          <w:sz w:val="28"/>
        </w:rPr>
        <w:t>
      второй базовый фасет определяет принадлежность к предметной области или группе общих процессов и содержит 2-литерный код предметной области или группы общих процессов. Если объект (документ) используется на базисном уровне, то данный фасет не формируется.</w:t>
      </w:r>
      <w:r>
        <w:br/>
      </w:r>
      <w:r>
        <w:rPr>
          <w:rFonts w:ascii="Times New Roman"/>
          <w:b w:val="false"/>
          <w:i w:val="false"/>
          <w:color w:val="000000"/>
          <w:sz w:val="28"/>
        </w:rPr>
        <w:t>
      Последующие фасеты в кодовом обозначении указывают на признаки, характерные для каждой категории объектов модели общих процессов и документов.</w:t>
      </w:r>
    </w:p>
    <w:bookmarkEnd w:id="65"/>
    <w:bookmarkStart w:name="z106" w:id="66"/>
    <w:p>
      <w:pPr>
        <w:spacing w:after="0"/>
        <w:ind w:left="0"/>
        <w:jc w:val="left"/>
      </w:pPr>
      <w:r>
        <w:rPr>
          <w:rFonts w:ascii="Times New Roman"/>
          <w:b/>
          <w:i w:val="false"/>
          <w:color w:val="000000"/>
        </w:rPr>
        <w:t xml:space="preserve"> 
IX. Правила именования объектов модели общих процессов</w:t>
      </w:r>
    </w:p>
    <w:bookmarkEnd w:id="66"/>
    <w:bookmarkStart w:name="z107" w:id="67"/>
    <w:p>
      <w:pPr>
        <w:spacing w:after="0"/>
        <w:ind w:left="0"/>
        <w:jc w:val="both"/>
      </w:pPr>
      <w:r>
        <w:rPr>
          <w:rFonts w:ascii="Times New Roman"/>
          <w:b w:val="false"/>
          <w:i w:val="false"/>
          <w:color w:val="000000"/>
          <w:sz w:val="28"/>
        </w:rPr>
        <w:t>
      76. В модели общих процессов применяются принципы именования, изложенные в международном стандарте ИСО/МЭК 11179-5 «Информационная технология. Регистры метаданных (РМД). Часть 5. Принципы наименования и идентификации».</w:t>
      </w:r>
      <w:r>
        <w:br/>
      </w:r>
      <w:r>
        <w:rPr>
          <w:rFonts w:ascii="Times New Roman"/>
          <w:b w:val="false"/>
          <w:i w:val="false"/>
          <w:color w:val="000000"/>
          <w:sz w:val="28"/>
        </w:rPr>
        <w:t>
</w:t>
      </w:r>
      <w:r>
        <w:rPr>
          <w:rFonts w:ascii="Times New Roman"/>
          <w:b w:val="false"/>
          <w:i w:val="false"/>
          <w:color w:val="000000"/>
          <w:sz w:val="28"/>
        </w:rPr>
        <w:t>
      77. При именовании объектов модели общих процессов применяются следующие правила:</w:t>
      </w:r>
      <w:r>
        <w:br/>
      </w:r>
      <w:r>
        <w:rPr>
          <w:rFonts w:ascii="Times New Roman"/>
          <w:b w:val="false"/>
          <w:i w:val="false"/>
          <w:color w:val="000000"/>
          <w:sz w:val="28"/>
        </w:rPr>
        <w:t>
      а) семантические правила;</w:t>
      </w:r>
      <w:r>
        <w:br/>
      </w:r>
      <w:r>
        <w:rPr>
          <w:rFonts w:ascii="Times New Roman"/>
          <w:b w:val="false"/>
          <w:i w:val="false"/>
          <w:color w:val="000000"/>
          <w:sz w:val="28"/>
        </w:rPr>
        <w:t>
      б) синтаксические правила;</w:t>
      </w:r>
      <w:r>
        <w:br/>
      </w:r>
      <w:r>
        <w:rPr>
          <w:rFonts w:ascii="Times New Roman"/>
          <w:b w:val="false"/>
          <w:i w:val="false"/>
          <w:color w:val="000000"/>
          <w:sz w:val="28"/>
        </w:rPr>
        <w:t>
      в) лексические правила;</w:t>
      </w:r>
      <w:r>
        <w:br/>
      </w:r>
      <w:r>
        <w:rPr>
          <w:rFonts w:ascii="Times New Roman"/>
          <w:b w:val="false"/>
          <w:i w:val="false"/>
          <w:color w:val="000000"/>
          <w:sz w:val="28"/>
        </w:rPr>
        <w:t>
      г) правила уникальности.</w:t>
      </w:r>
      <w:r>
        <w:br/>
      </w:r>
      <w:r>
        <w:rPr>
          <w:rFonts w:ascii="Times New Roman"/>
          <w:b w:val="false"/>
          <w:i w:val="false"/>
          <w:color w:val="000000"/>
          <w:sz w:val="28"/>
        </w:rPr>
        <w:t>
</w:t>
      </w:r>
      <w:r>
        <w:rPr>
          <w:rFonts w:ascii="Times New Roman"/>
          <w:b w:val="false"/>
          <w:i w:val="false"/>
          <w:color w:val="000000"/>
          <w:sz w:val="28"/>
        </w:rPr>
        <w:t>
      78. Применение семантических правил означает следующее:</w:t>
      </w:r>
      <w:r>
        <w:br/>
      </w:r>
      <w:r>
        <w:rPr>
          <w:rFonts w:ascii="Times New Roman"/>
          <w:b w:val="false"/>
          <w:i w:val="false"/>
          <w:color w:val="000000"/>
          <w:sz w:val="28"/>
        </w:rPr>
        <w:t>
      а) имя процедуры общего процесса выражается словосочетанием, которое обозначает конкретную задачу, выполняемую в рамках процедуры;</w:t>
      </w:r>
      <w:r>
        <w:br/>
      </w:r>
      <w:r>
        <w:rPr>
          <w:rFonts w:ascii="Times New Roman"/>
          <w:b w:val="false"/>
          <w:i w:val="false"/>
          <w:color w:val="000000"/>
          <w:sz w:val="28"/>
        </w:rPr>
        <w:t>
      б) имя операции выражается словосочетанием, которое обозначает конкретное действие, выполняемое в рамках операции;</w:t>
      </w:r>
      <w:r>
        <w:br/>
      </w:r>
      <w:r>
        <w:rPr>
          <w:rFonts w:ascii="Times New Roman"/>
          <w:b w:val="false"/>
          <w:i w:val="false"/>
          <w:color w:val="000000"/>
          <w:sz w:val="28"/>
        </w:rPr>
        <w:t>
      в) имя транзакции общего процесса выражается словосочетанием, которое определяет суть элементарного взаимодействия;</w:t>
      </w:r>
      <w:r>
        <w:br/>
      </w:r>
      <w:r>
        <w:rPr>
          <w:rFonts w:ascii="Times New Roman"/>
          <w:b w:val="false"/>
          <w:i w:val="false"/>
          <w:color w:val="000000"/>
          <w:sz w:val="28"/>
        </w:rPr>
        <w:t>
      г) имя информационного взаимодействия выражается словосочетанием, которое обозначает суть информационного взаимодействия;</w:t>
      </w:r>
      <w:r>
        <w:br/>
      </w:r>
      <w:r>
        <w:rPr>
          <w:rFonts w:ascii="Times New Roman"/>
          <w:b w:val="false"/>
          <w:i w:val="false"/>
          <w:color w:val="000000"/>
          <w:sz w:val="28"/>
        </w:rPr>
        <w:t>
      д) имя информационного объекта общего процесса выражается словом или словосочетанием, которые обозначают понятие, значимое в контексте общего процесса;</w:t>
      </w:r>
      <w:r>
        <w:br/>
      </w:r>
      <w:r>
        <w:rPr>
          <w:rFonts w:ascii="Times New Roman"/>
          <w:b w:val="false"/>
          <w:i w:val="false"/>
          <w:color w:val="000000"/>
          <w:sz w:val="28"/>
        </w:rPr>
        <w:t>
      е) имя состояния информационного объекта общего процесса выражается словом или словосочетанием, которые обозначают состояние объекта в определенный момент времени;</w:t>
      </w:r>
      <w:r>
        <w:br/>
      </w:r>
      <w:r>
        <w:rPr>
          <w:rFonts w:ascii="Times New Roman"/>
          <w:b w:val="false"/>
          <w:i w:val="false"/>
          <w:color w:val="000000"/>
          <w:sz w:val="28"/>
        </w:rPr>
        <w:t>
      ж) имя роли выражается словом или словосочетанием, которые обозначают конкретную функцию, выполняемую участником в рамках информационного взаимодействия;</w:t>
      </w:r>
      <w:r>
        <w:br/>
      </w:r>
      <w:r>
        <w:rPr>
          <w:rFonts w:ascii="Times New Roman"/>
          <w:b w:val="false"/>
          <w:i w:val="false"/>
          <w:color w:val="000000"/>
          <w:sz w:val="28"/>
        </w:rPr>
        <w:t>
      з) имя сообщения выражается словосочетанием, которое обозначает совокупность данных, передаваемых в информационном обмене;</w:t>
      </w:r>
      <w:r>
        <w:br/>
      </w:r>
      <w:r>
        <w:rPr>
          <w:rFonts w:ascii="Times New Roman"/>
          <w:b w:val="false"/>
          <w:i w:val="false"/>
          <w:color w:val="000000"/>
          <w:sz w:val="28"/>
        </w:rPr>
        <w:t>
      и) имя структуры электронного документа (сведений) выражается словосочетанием, которое обозначает полную совокупность данных в составе электронного документа (сведений);</w:t>
      </w:r>
      <w:r>
        <w:br/>
      </w:r>
      <w:r>
        <w:rPr>
          <w:rFonts w:ascii="Times New Roman"/>
          <w:b w:val="false"/>
          <w:i w:val="false"/>
          <w:color w:val="000000"/>
          <w:sz w:val="28"/>
        </w:rPr>
        <w:t>
      к) в отношении имени элемента данных:</w:t>
      </w:r>
      <w:r>
        <w:br/>
      </w:r>
      <w:r>
        <w:rPr>
          <w:rFonts w:ascii="Times New Roman"/>
          <w:b w:val="false"/>
          <w:i w:val="false"/>
          <w:color w:val="000000"/>
          <w:sz w:val="28"/>
        </w:rPr>
        <w:t>
      части имени элемента данных представляют собой отдельные термины, которые обозначают понятие элемента данных и класс представления;</w:t>
      </w:r>
      <w:r>
        <w:br/>
      </w:r>
      <w:r>
        <w:rPr>
          <w:rFonts w:ascii="Times New Roman"/>
          <w:b w:val="false"/>
          <w:i w:val="false"/>
          <w:color w:val="000000"/>
          <w:sz w:val="28"/>
        </w:rPr>
        <w:t>
      обозначение понятия элемента данных соотносит элемент данных с объектом (явлением) реального мира, определенным независимо от какого-либо конкретного представления. В состав имени элемента данных входит только один термин, обозначающий понятие;</w:t>
      </w:r>
      <w:r>
        <w:br/>
      </w:r>
      <w:r>
        <w:rPr>
          <w:rFonts w:ascii="Times New Roman"/>
          <w:b w:val="false"/>
          <w:i w:val="false"/>
          <w:color w:val="000000"/>
          <w:sz w:val="28"/>
        </w:rPr>
        <w:t>
      обозначение класса представления задает возможные значения, которые принимает элемент данных. В состав имени элемента данных входит только один термин, обозначающий класс представления;</w:t>
      </w:r>
      <w:r>
        <w:br/>
      </w:r>
      <w:r>
        <w:rPr>
          <w:rFonts w:ascii="Times New Roman"/>
          <w:b w:val="false"/>
          <w:i w:val="false"/>
          <w:color w:val="000000"/>
          <w:sz w:val="28"/>
        </w:rPr>
        <w:t>
      л) части имени типа данных представляют собой отдельные термины, которые обозначают квалификатор, понятие, область значений, а также термин «Тип»:</w:t>
      </w:r>
      <w:r>
        <w:br/>
      </w:r>
      <w:r>
        <w:rPr>
          <w:rFonts w:ascii="Times New Roman"/>
          <w:b w:val="false"/>
          <w:i w:val="false"/>
          <w:color w:val="000000"/>
          <w:sz w:val="28"/>
        </w:rPr>
        <w:t>
      обозначение квалификатора уточняет понятие и предназначено для указания смысловых отличий разных типов данных, построенных на основе одного понятия;</w:t>
      </w:r>
      <w:r>
        <w:br/>
      </w:r>
      <w:r>
        <w:rPr>
          <w:rFonts w:ascii="Times New Roman"/>
          <w:b w:val="false"/>
          <w:i w:val="false"/>
          <w:color w:val="000000"/>
          <w:sz w:val="28"/>
        </w:rPr>
        <w:t>
      обозначение понятия соотносит тип данных с объектом (явлением) реального мира вне зависимости от конкретного представления. В состав имени типа данных входит только один термин, обозначающий понятие;</w:t>
      </w:r>
      <w:r>
        <w:br/>
      </w:r>
      <w:r>
        <w:rPr>
          <w:rFonts w:ascii="Times New Roman"/>
          <w:b w:val="false"/>
          <w:i w:val="false"/>
          <w:color w:val="000000"/>
          <w:sz w:val="28"/>
        </w:rPr>
        <w:t>
      обозначение области значений характеризует ограничения на допустимые значения, определяемые типом данных, и предназначено для указания формальных отличий разных типов данных, построенных на основе одного понятия;</w:t>
      </w:r>
      <w:r>
        <w:br/>
      </w:r>
      <w:r>
        <w:rPr>
          <w:rFonts w:ascii="Times New Roman"/>
          <w:b w:val="false"/>
          <w:i w:val="false"/>
          <w:color w:val="000000"/>
          <w:sz w:val="28"/>
        </w:rPr>
        <w:t>
      м) имя примитивного типа составляет термин, который обозначает понятие.</w:t>
      </w:r>
      <w:r>
        <w:br/>
      </w:r>
      <w:r>
        <w:rPr>
          <w:rFonts w:ascii="Times New Roman"/>
          <w:b w:val="false"/>
          <w:i w:val="false"/>
          <w:color w:val="000000"/>
          <w:sz w:val="28"/>
        </w:rPr>
        <w:t>
</w:t>
      </w:r>
      <w:r>
        <w:rPr>
          <w:rFonts w:ascii="Times New Roman"/>
          <w:b w:val="false"/>
          <w:i w:val="false"/>
          <w:color w:val="000000"/>
          <w:sz w:val="28"/>
        </w:rPr>
        <w:t>
      79. Применение синтаксических правил означает следующее:</w:t>
      </w:r>
      <w:r>
        <w:br/>
      </w:r>
      <w:r>
        <w:rPr>
          <w:rFonts w:ascii="Times New Roman"/>
          <w:b w:val="false"/>
          <w:i w:val="false"/>
          <w:color w:val="000000"/>
          <w:sz w:val="28"/>
        </w:rPr>
        <w:t>
      а) порядок следования терминов в именах объектов модели взаимодействия в рамках общего процесса соответствует построению словосочетаний в русском языке;</w:t>
      </w:r>
      <w:r>
        <w:br/>
      </w:r>
      <w:r>
        <w:rPr>
          <w:rFonts w:ascii="Times New Roman"/>
          <w:b w:val="false"/>
          <w:i w:val="false"/>
          <w:color w:val="000000"/>
          <w:sz w:val="28"/>
        </w:rPr>
        <w:t>
      б) в имени процедур, операций, транзакций и информационных взаимодействий первым словом в словосочетании является обозначение действия;</w:t>
      </w:r>
      <w:r>
        <w:br/>
      </w:r>
      <w:r>
        <w:rPr>
          <w:rFonts w:ascii="Times New Roman"/>
          <w:b w:val="false"/>
          <w:i w:val="false"/>
          <w:color w:val="000000"/>
          <w:sz w:val="28"/>
        </w:rPr>
        <w:t>
      в) состояние информационного объекта обозначается краткой формой страдательного причастия прошедшего времени среднего рода единственного числа, кроме случаев, когда жизненный цикл информационного объекта включает множество состояний, связанных с обменом данными или выдачей документов. В таком случае в имя состояния информационного объекта включается имя сообщения или документа и указание действия над ним (например, «заявка получена», «уведомление направлено»);</w:t>
      </w:r>
      <w:r>
        <w:br/>
      </w:r>
      <w:r>
        <w:rPr>
          <w:rFonts w:ascii="Times New Roman"/>
          <w:b w:val="false"/>
          <w:i w:val="false"/>
          <w:color w:val="000000"/>
          <w:sz w:val="28"/>
        </w:rPr>
        <w:t>
      г) роль обозначается одним именем существительным, кроме случаев, когда взаимодействие многошаговое или исполняемая участником роль аккумулирует множество функций. В таком случае в имя включаются поясняющие конструкции (например, «владелец базы данных», «координатор взаимодействия»);</w:t>
      </w:r>
      <w:r>
        <w:br/>
      </w:r>
      <w:r>
        <w:rPr>
          <w:rFonts w:ascii="Times New Roman"/>
          <w:b w:val="false"/>
          <w:i w:val="false"/>
          <w:color w:val="000000"/>
          <w:sz w:val="28"/>
        </w:rPr>
        <w:t>
      д) термины в именах элементов данных приводятся в следующем порядке (слева направо):</w:t>
      </w:r>
      <w:r>
        <w:br/>
      </w:r>
      <w:r>
        <w:rPr>
          <w:rFonts w:ascii="Times New Roman"/>
          <w:b w:val="false"/>
          <w:i w:val="false"/>
          <w:color w:val="000000"/>
          <w:sz w:val="28"/>
        </w:rPr>
        <w:t>
      термин, обозначающий понятие элемента данных (обязательно);</w:t>
      </w:r>
      <w:r>
        <w:br/>
      </w:r>
      <w:r>
        <w:rPr>
          <w:rFonts w:ascii="Times New Roman"/>
          <w:b w:val="false"/>
          <w:i w:val="false"/>
          <w:color w:val="000000"/>
          <w:sz w:val="28"/>
        </w:rPr>
        <w:t>
      термин, обозначающий класс представления (обязательно).</w:t>
      </w:r>
      <w:r>
        <w:br/>
      </w:r>
      <w:r>
        <w:rPr>
          <w:rFonts w:ascii="Times New Roman"/>
          <w:b w:val="false"/>
          <w:i w:val="false"/>
          <w:color w:val="000000"/>
          <w:sz w:val="28"/>
        </w:rPr>
        <w:t>
      При этом части имени разделяются знаком «.» (точка) с последующим пробелом.</w:t>
      </w:r>
      <w:r>
        <w:br/>
      </w:r>
      <w:r>
        <w:rPr>
          <w:rFonts w:ascii="Times New Roman"/>
          <w:b w:val="false"/>
          <w:i w:val="false"/>
          <w:color w:val="000000"/>
          <w:sz w:val="28"/>
        </w:rPr>
        <w:t>
      В случае если термины в соседних частях имени совпадают, приводится только один из них;</w:t>
      </w:r>
      <w:r>
        <w:br/>
      </w:r>
      <w:r>
        <w:rPr>
          <w:rFonts w:ascii="Times New Roman"/>
          <w:b w:val="false"/>
          <w:i w:val="false"/>
          <w:color w:val="000000"/>
          <w:sz w:val="28"/>
        </w:rPr>
        <w:t>
      е) термины в именах типов данных приводятся в следующем порядке (слева направо):</w:t>
      </w:r>
      <w:r>
        <w:br/>
      </w:r>
      <w:r>
        <w:rPr>
          <w:rFonts w:ascii="Times New Roman"/>
          <w:b w:val="false"/>
          <w:i w:val="false"/>
          <w:color w:val="000000"/>
          <w:sz w:val="28"/>
        </w:rPr>
        <w:t>
      термин, обозначающий квалификатор (опционально);</w:t>
      </w:r>
      <w:r>
        <w:br/>
      </w:r>
      <w:r>
        <w:rPr>
          <w:rFonts w:ascii="Times New Roman"/>
          <w:b w:val="false"/>
          <w:i w:val="false"/>
          <w:color w:val="000000"/>
          <w:sz w:val="28"/>
        </w:rPr>
        <w:t>
      термин, обозначающий понятие (обязательно);</w:t>
      </w:r>
      <w:r>
        <w:br/>
      </w:r>
      <w:r>
        <w:rPr>
          <w:rFonts w:ascii="Times New Roman"/>
          <w:b w:val="false"/>
          <w:i w:val="false"/>
          <w:color w:val="000000"/>
          <w:sz w:val="28"/>
        </w:rPr>
        <w:t>
      термин, обозначающий область значений (опционально);</w:t>
      </w:r>
      <w:r>
        <w:br/>
      </w:r>
      <w:r>
        <w:rPr>
          <w:rFonts w:ascii="Times New Roman"/>
          <w:b w:val="false"/>
          <w:i w:val="false"/>
          <w:color w:val="000000"/>
          <w:sz w:val="28"/>
        </w:rPr>
        <w:t>
      термин «Тип» (обязательно).</w:t>
      </w:r>
      <w:r>
        <w:br/>
      </w:r>
      <w:r>
        <w:rPr>
          <w:rFonts w:ascii="Times New Roman"/>
          <w:b w:val="false"/>
          <w:i w:val="false"/>
          <w:color w:val="000000"/>
          <w:sz w:val="28"/>
        </w:rPr>
        <w:t>
      При этом в имени типа данных используются следующие разделители:</w:t>
      </w:r>
      <w:r>
        <w:br/>
      </w:r>
      <w:r>
        <w:rPr>
          <w:rFonts w:ascii="Times New Roman"/>
          <w:b w:val="false"/>
          <w:i w:val="false"/>
          <w:color w:val="000000"/>
          <w:sz w:val="28"/>
        </w:rPr>
        <w:t>
      «_» (подчеркивание) с последующим пробелом для отделения обозначения квалификатора от обозначения понятия;</w:t>
      </w:r>
      <w:r>
        <w:br/>
      </w:r>
      <w:r>
        <w:rPr>
          <w:rFonts w:ascii="Times New Roman"/>
          <w:b w:val="false"/>
          <w:i w:val="false"/>
          <w:color w:val="000000"/>
          <w:sz w:val="28"/>
        </w:rPr>
        <w:t>
      «.» (точка) с последующим пробелом для отделения обозначения понятия от последующего термина (обозначения области значений или термина «Тип»), а также для отделения обозначения области значений от последующего термина «Тип».</w:t>
      </w:r>
      <w:r>
        <w:br/>
      </w:r>
      <w:r>
        <w:rPr>
          <w:rFonts w:ascii="Times New Roman"/>
          <w:b w:val="false"/>
          <w:i w:val="false"/>
          <w:color w:val="000000"/>
          <w:sz w:val="28"/>
        </w:rPr>
        <w:t>
</w:t>
      </w:r>
      <w:r>
        <w:rPr>
          <w:rFonts w:ascii="Times New Roman"/>
          <w:b w:val="false"/>
          <w:i w:val="false"/>
          <w:color w:val="000000"/>
          <w:sz w:val="28"/>
        </w:rPr>
        <w:t>
      80. Применение лексических правил означает следующее:</w:t>
      </w:r>
      <w:r>
        <w:br/>
      </w:r>
      <w:r>
        <w:rPr>
          <w:rFonts w:ascii="Times New Roman"/>
          <w:b w:val="false"/>
          <w:i w:val="false"/>
          <w:color w:val="000000"/>
          <w:sz w:val="28"/>
        </w:rPr>
        <w:t>
      а) термины в составе имени используются только в единственном числе, за исключением случаев, когда существительное имеет только множественное число;</w:t>
      </w:r>
      <w:r>
        <w:br/>
      </w:r>
      <w:r>
        <w:rPr>
          <w:rFonts w:ascii="Times New Roman"/>
          <w:b w:val="false"/>
          <w:i w:val="false"/>
          <w:color w:val="000000"/>
          <w:sz w:val="28"/>
        </w:rPr>
        <w:t>
      б) для обозначения действия используется отглагольное существительное;</w:t>
      </w:r>
      <w:r>
        <w:br/>
      </w:r>
      <w:r>
        <w:rPr>
          <w:rFonts w:ascii="Times New Roman"/>
          <w:b w:val="false"/>
          <w:i w:val="false"/>
          <w:color w:val="000000"/>
          <w:sz w:val="28"/>
        </w:rPr>
        <w:t>
      в) глаголы (при наличии) используются только в форме настоящего времени;</w:t>
      </w:r>
      <w:r>
        <w:br/>
      </w:r>
      <w:r>
        <w:rPr>
          <w:rFonts w:ascii="Times New Roman"/>
          <w:b w:val="false"/>
          <w:i w:val="false"/>
          <w:color w:val="000000"/>
          <w:sz w:val="28"/>
        </w:rPr>
        <w:t>
      г) в случае если термин состоит из словосочетания, слова разделяются пробелом без использования специальных символов;</w:t>
      </w:r>
      <w:r>
        <w:br/>
      </w:r>
      <w:r>
        <w:rPr>
          <w:rFonts w:ascii="Times New Roman"/>
          <w:b w:val="false"/>
          <w:i w:val="false"/>
          <w:color w:val="000000"/>
          <w:sz w:val="28"/>
        </w:rPr>
        <w:t>
      д) в терминах допускается использование аббревиатур (в том числе акронимов) и инициалов;</w:t>
      </w:r>
      <w:r>
        <w:br/>
      </w:r>
      <w:r>
        <w:rPr>
          <w:rFonts w:ascii="Times New Roman"/>
          <w:b w:val="false"/>
          <w:i w:val="false"/>
          <w:color w:val="000000"/>
          <w:sz w:val="28"/>
        </w:rPr>
        <w:t>
      е) для символьного представления терминов в основном используются строчные буквы и арабские цифры. Прописные буквы используются для начального символа имени, начального символа имени собственного, аббревиатур и специфических слов, которые предполагают смешанное использование строчных и прописных букв. Допускается использование арабских цифр в устоявшихся, общепринятых терминах;</w:t>
      </w:r>
      <w:r>
        <w:br/>
      </w:r>
      <w:r>
        <w:rPr>
          <w:rFonts w:ascii="Times New Roman"/>
          <w:b w:val="false"/>
          <w:i w:val="false"/>
          <w:color w:val="000000"/>
          <w:sz w:val="28"/>
        </w:rPr>
        <w:t>
      ж) для образования имени используются слова (словосочетания) русского языка (за исключением общепринятых аббревиатур, слов и выражений на иностранном языке).</w:t>
      </w:r>
      <w:r>
        <w:br/>
      </w:r>
      <w:r>
        <w:rPr>
          <w:rFonts w:ascii="Times New Roman"/>
          <w:b w:val="false"/>
          <w:i w:val="false"/>
          <w:color w:val="000000"/>
          <w:sz w:val="28"/>
        </w:rPr>
        <w:t>
</w:t>
      </w:r>
      <w:r>
        <w:rPr>
          <w:rFonts w:ascii="Times New Roman"/>
          <w:b w:val="false"/>
          <w:i w:val="false"/>
          <w:color w:val="000000"/>
          <w:sz w:val="28"/>
        </w:rPr>
        <w:t>
      81. Применение правил уникальности означает следующее:</w:t>
      </w:r>
      <w:r>
        <w:br/>
      </w:r>
      <w:r>
        <w:rPr>
          <w:rFonts w:ascii="Times New Roman"/>
          <w:b w:val="false"/>
          <w:i w:val="false"/>
          <w:color w:val="000000"/>
          <w:sz w:val="28"/>
        </w:rPr>
        <w:t>
      а) все имена процедур, операций, транзакций, информационных взаимодействий, информационных объектов и сообщений уникальны в пределах общего процесса;</w:t>
      </w:r>
      <w:r>
        <w:br/>
      </w:r>
      <w:r>
        <w:rPr>
          <w:rFonts w:ascii="Times New Roman"/>
          <w:b w:val="false"/>
          <w:i w:val="false"/>
          <w:color w:val="000000"/>
          <w:sz w:val="28"/>
        </w:rPr>
        <w:t>
      б) все имена состояний уникальны для одного информационного объекта, но могут повторяться для разных информационных объектов;</w:t>
      </w:r>
      <w:r>
        <w:br/>
      </w:r>
      <w:r>
        <w:rPr>
          <w:rFonts w:ascii="Times New Roman"/>
          <w:b w:val="false"/>
          <w:i w:val="false"/>
          <w:color w:val="000000"/>
          <w:sz w:val="28"/>
        </w:rPr>
        <w:t>
      в) имена ролей уникальны в рамках одного информационного взаимодействия или транзакции общего процесса, но могут повторяться в разных информационных взаимодействиях или транзакциях;</w:t>
      </w:r>
      <w:r>
        <w:br/>
      </w:r>
      <w:r>
        <w:rPr>
          <w:rFonts w:ascii="Times New Roman"/>
          <w:b w:val="false"/>
          <w:i w:val="false"/>
          <w:color w:val="000000"/>
          <w:sz w:val="28"/>
        </w:rPr>
        <w:t>
      г) имена структур электронных документов и сведений уникальны в рамках модели общих процессов;</w:t>
      </w:r>
      <w:r>
        <w:br/>
      </w:r>
      <w:r>
        <w:rPr>
          <w:rFonts w:ascii="Times New Roman"/>
          <w:b w:val="false"/>
          <w:i w:val="false"/>
          <w:color w:val="000000"/>
          <w:sz w:val="28"/>
        </w:rPr>
        <w:t>
      д) имена общих элементов данных, базовых и общих типов данных уникальны в пределах модели данных;</w:t>
      </w:r>
      <w:r>
        <w:br/>
      </w:r>
      <w:r>
        <w:rPr>
          <w:rFonts w:ascii="Times New Roman"/>
          <w:b w:val="false"/>
          <w:i w:val="false"/>
          <w:color w:val="000000"/>
          <w:sz w:val="28"/>
        </w:rPr>
        <w:t>
      е) имена прикладных элементов данных и прикладных типов данных уникальны в пределах модели данных предметной области.</w:t>
      </w:r>
      <w:r>
        <w:br/>
      </w:r>
      <w:r>
        <w:rPr>
          <w:rFonts w:ascii="Times New Roman"/>
          <w:b w:val="false"/>
          <w:i w:val="false"/>
          <w:color w:val="000000"/>
          <w:sz w:val="28"/>
        </w:rPr>
        <w:t>
</w:t>
      </w:r>
      <w:r>
        <w:rPr>
          <w:rFonts w:ascii="Times New Roman"/>
          <w:b w:val="false"/>
          <w:i w:val="false"/>
          <w:color w:val="000000"/>
          <w:sz w:val="28"/>
        </w:rPr>
        <w:t>
      82. В соответствии с правилами именования имена объектов модели общих процессов могут составляться согласно следующим примерам:</w:t>
      </w:r>
      <w:r>
        <w:br/>
      </w:r>
      <w:r>
        <w:rPr>
          <w:rFonts w:ascii="Times New Roman"/>
          <w:b w:val="false"/>
          <w:i w:val="false"/>
          <w:color w:val="000000"/>
          <w:sz w:val="28"/>
        </w:rPr>
        <w:t>
      имя процедуры - «Прием и регистрация заявки»;</w:t>
      </w:r>
      <w:r>
        <w:br/>
      </w:r>
      <w:r>
        <w:rPr>
          <w:rFonts w:ascii="Times New Roman"/>
          <w:b w:val="false"/>
          <w:i w:val="false"/>
          <w:color w:val="000000"/>
          <w:sz w:val="28"/>
        </w:rPr>
        <w:t>
      имя операции - «Проверка правильности оформления заявки»;</w:t>
      </w:r>
      <w:r>
        <w:br/>
      </w:r>
      <w:r>
        <w:rPr>
          <w:rFonts w:ascii="Times New Roman"/>
          <w:b w:val="false"/>
          <w:i w:val="false"/>
          <w:color w:val="000000"/>
          <w:sz w:val="28"/>
        </w:rPr>
        <w:t>
      имя транзакции общего процесса - «Публикация сведений о заявке на регистрацию»;</w:t>
      </w:r>
      <w:r>
        <w:br/>
      </w:r>
      <w:r>
        <w:rPr>
          <w:rFonts w:ascii="Times New Roman"/>
          <w:b w:val="false"/>
          <w:i w:val="false"/>
          <w:color w:val="000000"/>
          <w:sz w:val="28"/>
        </w:rPr>
        <w:t>
      имя информационного взаимодействия - «Синхронизация национальных реестров»;</w:t>
      </w:r>
      <w:r>
        <w:br/>
      </w:r>
      <w:r>
        <w:rPr>
          <w:rFonts w:ascii="Times New Roman"/>
          <w:b w:val="false"/>
          <w:i w:val="false"/>
          <w:color w:val="000000"/>
          <w:sz w:val="28"/>
        </w:rPr>
        <w:t>
      имена информационных объектов - «Транспортное средство», «Реестр медицинских изделий»;</w:t>
      </w:r>
      <w:r>
        <w:br/>
      </w:r>
      <w:r>
        <w:rPr>
          <w:rFonts w:ascii="Times New Roman"/>
          <w:b w:val="false"/>
          <w:i w:val="false"/>
          <w:color w:val="000000"/>
          <w:sz w:val="28"/>
        </w:rPr>
        <w:t>
      имена состояний информационных объектов - «Сформировано», «Передано», «Заявка получена»;</w:t>
      </w:r>
      <w:r>
        <w:br/>
      </w:r>
      <w:r>
        <w:rPr>
          <w:rFonts w:ascii="Times New Roman"/>
          <w:b w:val="false"/>
          <w:i w:val="false"/>
          <w:color w:val="000000"/>
          <w:sz w:val="28"/>
        </w:rPr>
        <w:t>
      имена ролей - «Инициатор», «Респондент», «Владелец информации»;</w:t>
      </w:r>
      <w:r>
        <w:br/>
      </w:r>
      <w:r>
        <w:rPr>
          <w:rFonts w:ascii="Times New Roman"/>
          <w:b w:val="false"/>
          <w:i w:val="false"/>
          <w:color w:val="000000"/>
          <w:sz w:val="28"/>
        </w:rPr>
        <w:t>
      имя сообщения - «Заявка на регистрацию полученного права»;</w:t>
      </w:r>
      <w:r>
        <w:br/>
      </w:r>
      <w:r>
        <w:rPr>
          <w:rFonts w:ascii="Times New Roman"/>
          <w:b w:val="false"/>
          <w:i w:val="false"/>
          <w:color w:val="000000"/>
          <w:sz w:val="28"/>
        </w:rPr>
        <w:t>
      имя структуры электронного документа (сведений) - «Сведения о товарном знаке»;</w:t>
      </w:r>
      <w:r>
        <w:br/>
      </w:r>
      <w:r>
        <w:rPr>
          <w:rFonts w:ascii="Times New Roman"/>
          <w:b w:val="false"/>
          <w:i w:val="false"/>
          <w:color w:val="000000"/>
          <w:sz w:val="28"/>
        </w:rPr>
        <w:t>
      имя элемента данных:</w:t>
      </w:r>
      <w:r>
        <w:br/>
      </w:r>
      <w:r>
        <w:rPr>
          <w:rFonts w:ascii="Times New Roman"/>
          <w:b w:val="false"/>
          <w:i w:val="false"/>
          <w:color w:val="000000"/>
          <w:sz w:val="28"/>
        </w:rPr>
        <w:t>
      «Страна. Код» – термин «Страна» обозначает понятие элемента данных, термин «Код» обозначает класс представления;</w:t>
      </w:r>
      <w:r>
        <w:br/>
      </w:r>
      <w:r>
        <w:rPr>
          <w:rFonts w:ascii="Times New Roman"/>
          <w:b w:val="false"/>
          <w:i w:val="false"/>
          <w:color w:val="000000"/>
          <w:sz w:val="28"/>
        </w:rPr>
        <w:t>
      «Платеж. Денежная сумма» – термин «Платеж» обозначает понятие элемента данных, термин «Денежная сумма» обозначает класс представления;</w:t>
      </w:r>
      <w:r>
        <w:br/>
      </w:r>
      <w:r>
        <w:rPr>
          <w:rFonts w:ascii="Times New Roman"/>
          <w:b w:val="false"/>
          <w:i w:val="false"/>
          <w:color w:val="000000"/>
          <w:sz w:val="28"/>
        </w:rPr>
        <w:t>
      имя типа данных:</w:t>
      </w:r>
      <w:r>
        <w:br/>
      </w:r>
      <w:r>
        <w:rPr>
          <w:rFonts w:ascii="Times New Roman"/>
          <w:b w:val="false"/>
          <w:i w:val="false"/>
          <w:color w:val="000000"/>
          <w:sz w:val="28"/>
        </w:rPr>
        <w:t>
      «Страна_ Код. Тип» – термин «Страна» обозначает квалификатор, термин «Код» обозначает понятие, термин «Тип» – постоянная часть;</w:t>
      </w:r>
      <w:r>
        <w:br/>
      </w:r>
      <w:r>
        <w:rPr>
          <w:rFonts w:ascii="Times New Roman"/>
          <w:b w:val="false"/>
          <w:i w:val="false"/>
          <w:color w:val="000000"/>
          <w:sz w:val="28"/>
        </w:rPr>
        <w:t>
      «Платеж_ Денежная сумма. Тип» – термин «Платеж» обозначает квалификатор, термин «Денежная сумма» обозначает понятие, термин «Тип» – постоянная часть.</w:t>
      </w:r>
    </w:p>
    <w:bookmarkEnd w:id="67"/>
    <w:bookmarkStart w:name="z114" w:id="68"/>
    <w:p>
      <w:pPr>
        <w:spacing w:after="0"/>
        <w:ind w:left="0"/>
        <w:jc w:val="left"/>
      </w:pPr>
      <w:r>
        <w:rPr>
          <w:rFonts w:ascii="Times New Roman"/>
          <w:b/>
          <w:i w:val="false"/>
          <w:color w:val="000000"/>
        </w:rPr>
        <w:t xml:space="preserve"> 
X. Правила составления определений</w:t>
      </w:r>
      <w:r>
        <w:br/>
      </w:r>
      <w:r>
        <w:rPr>
          <w:rFonts w:ascii="Times New Roman"/>
          <w:b/>
          <w:i w:val="false"/>
          <w:color w:val="000000"/>
        </w:rPr>
        <w:t>
объектов модели общих процессов</w:t>
      </w:r>
    </w:p>
    <w:bookmarkEnd w:id="68"/>
    <w:bookmarkStart w:name="z115" w:id="69"/>
    <w:p>
      <w:pPr>
        <w:spacing w:after="0"/>
        <w:ind w:left="0"/>
        <w:jc w:val="both"/>
      </w:pPr>
      <w:r>
        <w:rPr>
          <w:rFonts w:ascii="Times New Roman"/>
          <w:b w:val="false"/>
          <w:i w:val="false"/>
          <w:color w:val="000000"/>
          <w:sz w:val="28"/>
        </w:rPr>
        <w:t>
      83. Целью составления определений объектов модели общих процессов является получение формулировки из слов (словосочетаний), которые описывают, объясняют и делают понятными смысловые значения объектов модели общих процессов. Точность и недвусмысленность определений объектов модели общих процессов являются одним из наиболее важных аспектов обеспечения возможности коллективного использования объектов модели.</w:t>
      </w:r>
      <w:r>
        <w:br/>
      </w:r>
      <w:r>
        <w:rPr>
          <w:rFonts w:ascii="Times New Roman"/>
          <w:b w:val="false"/>
          <w:i w:val="false"/>
          <w:color w:val="000000"/>
          <w:sz w:val="28"/>
        </w:rPr>
        <w:t>
</w:t>
      </w:r>
      <w:r>
        <w:rPr>
          <w:rFonts w:ascii="Times New Roman"/>
          <w:b w:val="false"/>
          <w:i w:val="false"/>
          <w:color w:val="000000"/>
          <w:sz w:val="28"/>
        </w:rPr>
        <w:t>
      84. Правила составления определений объектов модели общих процессов основаны на международном стандарте ИСО/МЭК 11179-4 «Информационная технология. Регистры метаданных (РМД). Часть 4. Формулирование определений данных». Стандартом предусмотрены обязательные требования, которым должны соответствовать все определения элементов данных, и правила, которые используются при создании определения элемента данных. Стандарт не предъявляет синтаксических требований к формулировке определения (например, порядок слов и структура фраз). Разработчиком формируется множественность определений в зависимости от контекста, равно как и множественность имен в зависимости от контекста. В случае множественности каждое определение передает одинаковый смысл таким образом, чтобы не возникало двусмысленности в понимании значения определяемого объекта модели общих процессов.</w:t>
      </w:r>
      <w:r>
        <w:br/>
      </w:r>
      <w:r>
        <w:rPr>
          <w:rFonts w:ascii="Times New Roman"/>
          <w:b w:val="false"/>
          <w:i w:val="false"/>
          <w:color w:val="000000"/>
          <w:sz w:val="28"/>
        </w:rPr>
        <w:t>
</w:t>
      </w:r>
      <w:r>
        <w:rPr>
          <w:rFonts w:ascii="Times New Roman"/>
          <w:b w:val="false"/>
          <w:i w:val="false"/>
          <w:color w:val="000000"/>
          <w:sz w:val="28"/>
        </w:rPr>
        <w:t>
      85. Правила составления определений объектов модели общих процессов предусматривают следующее:</w:t>
      </w:r>
      <w:r>
        <w:br/>
      </w:r>
      <w:r>
        <w:rPr>
          <w:rFonts w:ascii="Times New Roman"/>
          <w:b w:val="false"/>
          <w:i w:val="false"/>
          <w:color w:val="000000"/>
          <w:sz w:val="28"/>
        </w:rPr>
        <w:t>
      а) использование единственного числа: понятия в определении объекта модели общих процессов представляются в единственном числе, за исключением случаев, когда существительное имеет только множественное число;</w:t>
      </w:r>
      <w:r>
        <w:br/>
      </w:r>
      <w:r>
        <w:rPr>
          <w:rFonts w:ascii="Times New Roman"/>
          <w:b w:val="false"/>
          <w:i w:val="false"/>
          <w:color w:val="000000"/>
          <w:sz w:val="28"/>
        </w:rPr>
        <w:t>
      б) ограничение отрицательных форм: определение объекта модели общих процессов формируется исключительно без отрицания и указывает, чем является объект модели общих процессов, а не чем он не является;</w:t>
      </w:r>
      <w:r>
        <w:br/>
      </w:r>
      <w:r>
        <w:rPr>
          <w:rFonts w:ascii="Times New Roman"/>
          <w:b w:val="false"/>
          <w:i w:val="false"/>
          <w:color w:val="000000"/>
          <w:sz w:val="28"/>
        </w:rPr>
        <w:t>
      в) описательная форма: определение объекта модели общих процессов представляет собой описательные словосочетания или предложения. Использование в определениях синонимов или близких понятий не допускается;</w:t>
      </w:r>
      <w:r>
        <w:br/>
      </w:r>
      <w:r>
        <w:rPr>
          <w:rFonts w:ascii="Times New Roman"/>
          <w:b w:val="false"/>
          <w:i w:val="false"/>
          <w:color w:val="000000"/>
          <w:sz w:val="28"/>
        </w:rPr>
        <w:t>
      г) ограничение аббревиатур: определение объекта модели общих процессов может включать только широко используемые аббревиатуры. Специфические аббревиатуры могут использоваться только с расшифровкой;</w:t>
      </w:r>
      <w:r>
        <w:br/>
      </w:r>
      <w:r>
        <w:rPr>
          <w:rFonts w:ascii="Times New Roman"/>
          <w:b w:val="false"/>
          <w:i w:val="false"/>
          <w:color w:val="000000"/>
          <w:sz w:val="28"/>
        </w:rPr>
        <w:t>
      д) определение объекта модели общих процессов не может содержать определения других объектов модели общих процессов или связанных понятий;</w:t>
      </w:r>
      <w:r>
        <w:br/>
      </w:r>
      <w:r>
        <w:rPr>
          <w:rFonts w:ascii="Times New Roman"/>
          <w:b w:val="false"/>
          <w:i w:val="false"/>
          <w:color w:val="000000"/>
          <w:sz w:val="28"/>
        </w:rPr>
        <w:t>
      е) в определении объекта модели общих процессов приводятся только те характеристики, которые являются существенными;</w:t>
      </w:r>
      <w:r>
        <w:br/>
      </w:r>
      <w:r>
        <w:rPr>
          <w:rFonts w:ascii="Times New Roman"/>
          <w:b w:val="false"/>
          <w:i w:val="false"/>
          <w:color w:val="000000"/>
          <w:sz w:val="28"/>
        </w:rPr>
        <w:t>
      ж) в определении объекта модели общих процессов должны использоваться максимально точные, краткие и однозначно понимаемые формулировки;</w:t>
      </w:r>
      <w:r>
        <w:br/>
      </w:r>
      <w:r>
        <w:rPr>
          <w:rFonts w:ascii="Times New Roman"/>
          <w:b w:val="false"/>
          <w:i w:val="false"/>
          <w:color w:val="000000"/>
          <w:sz w:val="28"/>
        </w:rPr>
        <w:t>
      з) при составлении определения объекта модели общих процессов предусматривается возможность его самостоятельного использования, без дополнительных разъяснений и комментариев;</w:t>
      </w:r>
      <w:r>
        <w:br/>
      </w:r>
      <w:r>
        <w:rPr>
          <w:rFonts w:ascii="Times New Roman"/>
          <w:b w:val="false"/>
          <w:i w:val="false"/>
          <w:color w:val="000000"/>
          <w:sz w:val="28"/>
        </w:rPr>
        <w:t>
      и) при составлении определения объекта модели общих процессов следует избегать указания обоснования функционального использования, специфики предметной области или процедурной информации;</w:t>
      </w:r>
      <w:r>
        <w:br/>
      </w:r>
      <w:r>
        <w:rPr>
          <w:rFonts w:ascii="Times New Roman"/>
          <w:b w:val="false"/>
          <w:i w:val="false"/>
          <w:color w:val="000000"/>
          <w:sz w:val="28"/>
        </w:rPr>
        <w:t>
      к) при составлении определения объекта модели общих процессов следует избегать организации циклических ссылок;</w:t>
      </w:r>
      <w:r>
        <w:br/>
      </w:r>
      <w:r>
        <w:rPr>
          <w:rFonts w:ascii="Times New Roman"/>
          <w:b w:val="false"/>
          <w:i w:val="false"/>
          <w:color w:val="000000"/>
          <w:sz w:val="28"/>
        </w:rPr>
        <w:t>
      л) в определениях объектов модели общих процессов используется одинаковая терминология и совместимая логическая структура для связанных определений.</w:t>
      </w:r>
    </w:p>
    <w:bookmarkEnd w:id="69"/>
    <w:bookmarkStart w:name="z118" w:id="70"/>
    <w:p>
      <w:pPr>
        <w:spacing w:after="0"/>
        <w:ind w:left="0"/>
        <w:jc w:val="left"/>
      </w:pPr>
      <w:r>
        <w:rPr>
          <w:rFonts w:ascii="Times New Roman"/>
          <w:b/>
          <w:i w:val="false"/>
          <w:color w:val="000000"/>
        </w:rPr>
        <w:t xml:space="preserve"> 
XI. Технические требования</w:t>
      </w:r>
      <w:r>
        <w:br/>
      </w:r>
      <w:r>
        <w:rPr>
          <w:rFonts w:ascii="Times New Roman"/>
          <w:b/>
          <w:i w:val="false"/>
          <w:color w:val="000000"/>
        </w:rPr>
        <w:t>
к оптимизации и гармонизации общих процессов</w:t>
      </w:r>
    </w:p>
    <w:bookmarkEnd w:id="70"/>
    <w:bookmarkStart w:name="z119" w:id="71"/>
    <w:p>
      <w:pPr>
        <w:spacing w:after="0"/>
        <w:ind w:left="0"/>
        <w:jc w:val="both"/>
      </w:pPr>
      <w:r>
        <w:rPr>
          <w:rFonts w:ascii="Times New Roman"/>
          <w:b w:val="false"/>
          <w:i w:val="false"/>
          <w:color w:val="000000"/>
          <w:sz w:val="28"/>
        </w:rPr>
        <w:t>
      86. При изменении общего процесса в результате внесения изменений в международные договоры и (или) акты, составляющие право Союза, а также установлении необходимости и возможности модернизации общего процесса в целях повышения его эффективности (ускорения общего процесса, его упрощения, снижения материальных и нематериальных затрат и издержек на реализацию общего процесса, устранение выявленных дефектов общего процесса, повышения его прозрачности и т.п.) осуществляется оптимизация общего процесса.</w:t>
      </w:r>
      <w:r>
        <w:br/>
      </w:r>
      <w:r>
        <w:rPr>
          <w:rFonts w:ascii="Times New Roman"/>
          <w:b w:val="false"/>
          <w:i w:val="false"/>
          <w:color w:val="000000"/>
          <w:sz w:val="28"/>
        </w:rPr>
        <w:t>
</w:t>
      </w:r>
      <w:r>
        <w:rPr>
          <w:rFonts w:ascii="Times New Roman"/>
          <w:b w:val="false"/>
          <w:i w:val="false"/>
          <w:color w:val="000000"/>
          <w:sz w:val="28"/>
        </w:rPr>
        <w:t>
      87. В рамках оптимизации общего процесса:</w:t>
      </w:r>
      <w:r>
        <w:br/>
      </w:r>
      <w:r>
        <w:rPr>
          <w:rFonts w:ascii="Times New Roman"/>
          <w:b w:val="false"/>
          <w:i w:val="false"/>
          <w:color w:val="000000"/>
          <w:sz w:val="28"/>
        </w:rPr>
        <w:t>
      проводится анализ и при необходимости вносятся изменения в международные договоры и акты, составляющие право Союза, содержащие нормы по регламентации общего процесса;</w:t>
      </w:r>
      <w:r>
        <w:br/>
      </w:r>
      <w:r>
        <w:rPr>
          <w:rFonts w:ascii="Times New Roman"/>
          <w:b w:val="false"/>
          <w:i w:val="false"/>
          <w:color w:val="000000"/>
          <w:sz w:val="28"/>
        </w:rPr>
        <w:t>
      проводится анализ изменения регламентации общего процесса в международных договорах и актах, составляющих право Союза, – если таковое имело место;</w:t>
      </w:r>
      <w:r>
        <w:br/>
      </w:r>
      <w:r>
        <w:rPr>
          <w:rFonts w:ascii="Times New Roman"/>
          <w:b w:val="false"/>
          <w:i w:val="false"/>
          <w:color w:val="000000"/>
          <w:sz w:val="28"/>
        </w:rPr>
        <w:t>
      проводится мониторинг реализации общего процесса, анализ результативности, актуальности и оптимальности бизнес-процессов, реализуемых в рамках общего процесса, оценка эффективности соотношения «время – издержки – качество»;</w:t>
      </w:r>
      <w:r>
        <w:br/>
      </w:r>
      <w:r>
        <w:rPr>
          <w:rFonts w:ascii="Times New Roman"/>
          <w:b w:val="false"/>
          <w:i w:val="false"/>
          <w:color w:val="000000"/>
          <w:sz w:val="28"/>
        </w:rPr>
        <w:t>
      модифицируется модель взаимодействия в рамках общего процесса и создается ее новая версия;</w:t>
      </w:r>
      <w:r>
        <w:br/>
      </w:r>
      <w:r>
        <w:rPr>
          <w:rFonts w:ascii="Times New Roman"/>
          <w:b w:val="false"/>
          <w:i w:val="false"/>
          <w:color w:val="000000"/>
          <w:sz w:val="28"/>
        </w:rPr>
        <w:t>
      вносятся изменения в технологические документы общего процесса (при необходимости).</w:t>
      </w:r>
      <w:r>
        <w:br/>
      </w:r>
      <w:r>
        <w:rPr>
          <w:rFonts w:ascii="Times New Roman"/>
          <w:b w:val="false"/>
          <w:i w:val="false"/>
          <w:color w:val="000000"/>
          <w:sz w:val="28"/>
        </w:rPr>
        <w:t>
      Комплект технологических документов общего процесса, содержащих измененные описания общего процесса, формируется в автоматизированном режиме с использованием модифицированной модели взаимодействия в рамках общего процесса.</w:t>
      </w:r>
      <w:r>
        <w:br/>
      </w:r>
      <w:r>
        <w:rPr>
          <w:rFonts w:ascii="Times New Roman"/>
          <w:b w:val="false"/>
          <w:i w:val="false"/>
          <w:color w:val="000000"/>
          <w:sz w:val="28"/>
        </w:rPr>
        <w:t>
</w:t>
      </w:r>
      <w:r>
        <w:rPr>
          <w:rFonts w:ascii="Times New Roman"/>
          <w:b w:val="false"/>
          <w:i w:val="false"/>
          <w:color w:val="000000"/>
          <w:sz w:val="28"/>
        </w:rPr>
        <w:t>
      88. По мере регламентации и реализации общих процессов в целях обеспечения согласованности между технологическими документами общих процессов, принятыми в разные периоды времени, между общими процессами, в том числе между общими процессами, в отношении которых была осуществлена оптимизация по причинам, указанным в </w:t>
      </w:r>
      <w:r>
        <w:rPr>
          <w:rFonts w:ascii="Times New Roman"/>
          <w:b w:val="false"/>
          <w:i w:val="false"/>
          <w:color w:val="000000"/>
          <w:sz w:val="28"/>
        </w:rPr>
        <w:t>пункте 86</w:t>
      </w:r>
      <w:r>
        <w:rPr>
          <w:rFonts w:ascii="Times New Roman"/>
          <w:b w:val="false"/>
          <w:i w:val="false"/>
          <w:color w:val="000000"/>
          <w:sz w:val="28"/>
        </w:rPr>
        <w:t xml:space="preserve"> настоящей Методики, и общими процессами, для оптимизации которых объективные причины отсутствуют, а также в целях единообразной реализации общих процессов проводится гармонизация общих процессов.</w:t>
      </w:r>
      <w:r>
        <w:br/>
      </w:r>
      <w:r>
        <w:rPr>
          <w:rFonts w:ascii="Times New Roman"/>
          <w:b w:val="false"/>
          <w:i w:val="false"/>
          <w:color w:val="000000"/>
          <w:sz w:val="28"/>
        </w:rPr>
        <w:t>
      Необходимость гармонизации общих процессов и их регламентации определяется Комиссией самостоятельно или на основании предложений уполномоченных органов государств-членов о гармонизации общих процессов и их регламентации, направляемых в Комиссию.</w:t>
      </w:r>
      <w:r>
        <w:br/>
      </w:r>
      <w:r>
        <w:rPr>
          <w:rFonts w:ascii="Times New Roman"/>
          <w:b w:val="false"/>
          <w:i w:val="false"/>
          <w:color w:val="000000"/>
          <w:sz w:val="28"/>
        </w:rPr>
        <w:t>
      В рамках гармонизации общих процессов:</w:t>
      </w:r>
      <w:r>
        <w:br/>
      </w:r>
      <w:r>
        <w:rPr>
          <w:rFonts w:ascii="Times New Roman"/>
          <w:b w:val="false"/>
          <w:i w:val="false"/>
          <w:color w:val="000000"/>
          <w:sz w:val="28"/>
        </w:rPr>
        <w:t>
      проводится сравнительный анализ общих процессов и моделей данных, технологических документов общих процессов;</w:t>
      </w:r>
      <w:r>
        <w:br/>
      </w:r>
      <w:r>
        <w:rPr>
          <w:rFonts w:ascii="Times New Roman"/>
          <w:b w:val="false"/>
          <w:i w:val="false"/>
          <w:color w:val="000000"/>
          <w:sz w:val="28"/>
        </w:rPr>
        <w:t>
      формируется перечень операций и процедур общих процессов, подлежащих гармонизации;</w:t>
      </w:r>
      <w:r>
        <w:br/>
      </w:r>
      <w:r>
        <w:rPr>
          <w:rFonts w:ascii="Times New Roman"/>
          <w:b w:val="false"/>
          <w:i w:val="false"/>
          <w:color w:val="000000"/>
          <w:sz w:val="28"/>
        </w:rPr>
        <w:t>
      модифицируются модели взаимодействия в рамках общего процесса и создаются новые версии, обеспечивающие сопоставимый, сходный и согласованный порядок реализации общих процессов;</w:t>
      </w:r>
      <w:r>
        <w:br/>
      </w:r>
      <w:r>
        <w:rPr>
          <w:rFonts w:ascii="Times New Roman"/>
          <w:b w:val="false"/>
          <w:i w:val="false"/>
          <w:color w:val="000000"/>
          <w:sz w:val="28"/>
        </w:rPr>
        <w:t>
      вносятся изменения в технологические документы общих процессов (при необходимости).</w:t>
      </w:r>
    </w:p>
    <w:bookmarkEnd w:id="71"/>
    <w:bookmarkStart w:name="z122" w:id="7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Методике анализа, оптимизации,</w:t>
      </w:r>
      <w:r>
        <w:br/>
      </w:r>
      <w:r>
        <w:rPr>
          <w:rFonts w:ascii="Times New Roman"/>
          <w:b w:val="false"/>
          <w:i w:val="false"/>
          <w:color w:val="000000"/>
          <w:sz w:val="28"/>
        </w:rPr>
        <w:t xml:space="preserve">
гармонизации и описания общих  </w:t>
      </w:r>
      <w:r>
        <w:br/>
      </w:r>
      <w:r>
        <w:rPr>
          <w:rFonts w:ascii="Times New Roman"/>
          <w:b w:val="false"/>
          <w:i w:val="false"/>
          <w:color w:val="000000"/>
          <w:sz w:val="28"/>
        </w:rPr>
        <w:t xml:space="preserve">
процессов в рамках Евразийского </w:t>
      </w:r>
      <w:r>
        <w:br/>
      </w:r>
      <w:r>
        <w:rPr>
          <w:rFonts w:ascii="Times New Roman"/>
          <w:b w:val="false"/>
          <w:i w:val="false"/>
          <w:color w:val="000000"/>
          <w:sz w:val="28"/>
        </w:rPr>
        <w:t xml:space="preserve">
экономического союза      </w:t>
      </w:r>
    </w:p>
    <w:bookmarkEnd w:id="72"/>
    <w:bookmarkStart w:name="z123" w:id="73"/>
    <w:p>
      <w:pPr>
        <w:spacing w:after="0"/>
        <w:ind w:left="0"/>
        <w:jc w:val="left"/>
      </w:pPr>
      <w:r>
        <w:rPr>
          <w:rFonts w:ascii="Times New Roman"/>
          <w:b/>
          <w:i w:val="false"/>
          <w:color w:val="000000"/>
        </w:rPr>
        <w:t xml:space="preserve"> 
ТРЕБОВАНИЯ</w:t>
      </w:r>
      <w:r>
        <w:br/>
      </w:r>
      <w:r>
        <w:rPr>
          <w:rFonts w:ascii="Times New Roman"/>
          <w:b/>
          <w:i w:val="false"/>
          <w:color w:val="000000"/>
        </w:rPr>
        <w:t>
к графической нотации, используемой для оформления</w:t>
      </w:r>
      <w:r>
        <w:br/>
      </w:r>
      <w:r>
        <w:rPr>
          <w:rFonts w:ascii="Times New Roman"/>
          <w:b/>
          <w:i w:val="false"/>
          <w:color w:val="000000"/>
        </w:rPr>
        <w:t>
технологических документов общего процесса</w:t>
      </w:r>
    </w:p>
    <w:bookmarkEnd w:id="73"/>
    <w:bookmarkStart w:name="z124" w:id="74"/>
    <w:p>
      <w:pPr>
        <w:spacing w:after="0"/>
        <w:ind w:left="0"/>
        <w:jc w:val="both"/>
      </w:pPr>
      <w:r>
        <w:rPr>
          <w:rFonts w:ascii="Times New Roman"/>
          <w:b w:val="false"/>
          <w:i w:val="false"/>
          <w:color w:val="000000"/>
          <w:sz w:val="28"/>
        </w:rPr>
        <w:t>
      1. Для обеспечения наглядности положений технологических документов,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 (далее – технологические документы общего процесса), облегчения их визуального восприятия иллюстрации, включаемые в технологические документы общего процесса, выполняются с использованием графической нотации.</w:t>
      </w:r>
      <w:r>
        <w:br/>
      </w:r>
      <w:r>
        <w:rPr>
          <w:rFonts w:ascii="Times New Roman"/>
          <w:b w:val="false"/>
          <w:i w:val="false"/>
          <w:color w:val="000000"/>
          <w:sz w:val="28"/>
        </w:rPr>
        <w:t>
</w:t>
      </w:r>
      <w:r>
        <w:rPr>
          <w:rFonts w:ascii="Times New Roman"/>
          <w:b w:val="false"/>
          <w:i w:val="false"/>
          <w:color w:val="000000"/>
          <w:sz w:val="28"/>
        </w:rPr>
        <w:t>
      2. Требования к графической нотации, используемой для оформления технологических документов общего процесса, приводимые в таблице, основываются на использовании унифицированного языка моделирования UML (Unified Modeling Language).</w:t>
      </w:r>
      <w:r>
        <w:br/>
      </w:r>
      <w:r>
        <w:rPr>
          <w:rFonts w:ascii="Times New Roman"/>
          <w:b w:val="false"/>
          <w:i w:val="false"/>
          <w:color w:val="000000"/>
          <w:sz w:val="28"/>
        </w:rPr>
        <w:t>
</w:t>
      </w:r>
      <w:r>
        <w:rPr>
          <w:rFonts w:ascii="Times New Roman"/>
          <w:b w:val="false"/>
          <w:i w:val="false"/>
          <w:color w:val="000000"/>
          <w:sz w:val="28"/>
        </w:rPr>
        <w:t>
      3. Примеры схем, выполненных в соответствии с настоящим документом, приведены на рисунках 1 – 8.</w:t>
      </w:r>
    </w:p>
    <w:bookmarkEnd w:id="74"/>
    <w:p>
      <w:pPr>
        <w:spacing w:after="0"/>
        <w:ind w:left="0"/>
        <w:jc w:val="both"/>
      </w:pPr>
      <w:r>
        <w:rPr>
          <w:rFonts w:ascii="Times New Roman"/>
          <w:b w:val="false"/>
          <w:i w:val="false"/>
          <w:color w:val="000000"/>
          <w:sz w:val="28"/>
        </w:rPr>
        <w:t>Таблица</w:t>
      </w:r>
    </w:p>
    <w:p>
      <w:pPr>
        <w:spacing w:after="0"/>
        <w:ind w:left="0"/>
        <w:jc w:val="both"/>
      </w:pPr>
      <w:r>
        <w:rPr>
          <w:rFonts w:ascii="Times New Roman"/>
          <w:b w:val="false"/>
          <w:i w:val="false"/>
          <w:color w:val="000000"/>
          <w:sz w:val="28"/>
        </w:rPr>
        <w:t>     Графическая нотация, используемая для оформления технологических</w:t>
      </w:r>
      <w:r>
        <w:br/>
      </w:r>
      <w:r>
        <w:rPr>
          <w:rFonts w:ascii="Times New Roman"/>
          <w:b w:val="false"/>
          <w:i w:val="false"/>
          <w:color w:val="000000"/>
          <w:sz w:val="28"/>
        </w:rPr>
        <w:t>
                            документов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616"/>
        <w:gridCol w:w="3762"/>
        <w:gridCol w:w="3619"/>
        <w:gridCol w:w="346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графической нотации</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Графическое изображение</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нотации схем, иллюстрирующих структуру общего процесса</w:t>
            </w:r>
          </w:p>
        </w:tc>
      </w:tr>
      <w:tr>
        <w:trPr>
          <w:trHeight w:val="17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общего процесса (заинтересованная сторона)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0541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схематическое изображение человека, под которым указано наименование участника (заинтересованной стороны) и его код</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участника общего процесса (заинтересованной стороны)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общего процесса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5700" cy="10922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овал, под которым указано наименование процедуры общего процесса и ее код</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процедур в общем процессе </w:t>
            </w:r>
            <w:r>
              <w:br/>
            </w:r>
            <w:r>
              <w:rPr>
                <w:rFonts w:ascii="Times New Roman"/>
                <w:b w:val="false"/>
                <w:i w:val="false"/>
                <w:color w:val="000000"/>
                <w:sz w:val="20"/>
              </w:rPr>
              <w:t>
</w:t>
            </w:r>
            <w:r>
              <w:rPr>
                <w:rFonts w:ascii="Times New Roman"/>
                <w:b w:val="false"/>
                <w:i w:val="false"/>
                <w:color w:val="000000"/>
                <w:sz w:val="20"/>
              </w:rPr>
              <w:t>или в группе процедуры общего процесса</w:t>
            </w:r>
          </w:p>
        </w:tc>
      </w:tr>
      <w:tr>
        <w:trPr>
          <w:trHeight w:val="11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участия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2667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тонкая линия с надписью «Участие», которая соединяет участника и процедуру общего процесса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отношения между участником общего процесса и процедурой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заинтересованности</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3175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тонкая линия с надписью «Заинтересованность», которая соединяет заинтересованную сторону и процедуру общего процесса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отношения между заинтересованной стороной и процедурой общего процесса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нотации схем процедур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процедуры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 черного цвета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точки, в которой начинается выполнение процедуры; относится к компонентам схемы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Событие «Отправка сигнала»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22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22400" cy="4572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фигура в форме стрелки вправо, в которой указано имя события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отображения события, которое инициирует участник, чтобы начать или возобновить выполнение процедуры; относится к компонентам схемы</w:t>
            </w:r>
          </w:p>
        </w:tc>
      </w:tr>
      <w:tr>
        <w:trPr>
          <w:trHeight w:val="13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Событие «Прием сигнала»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47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47800" cy="4699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фигура в форме флажка с угловым вырезом слева, в котором указано имя события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события, которое инициирует </w:t>
            </w:r>
            <w:r>
              <w:br/>
            </w:r>
            <w:r>
              <w:rPr>
                <w:rFonts w:ascii="Times New Roman"/>
                <w:b w:val="false"/>
                <w:i w:val="false"/>
                <w:color w:val="000000"/>
                <w:sz w:val="20"/>
              </w:rPr>
              <w:t>
</w:t>
            </w:r>
            <w:r>
              <w:rPr>
                <w:rFonts w:ascii="Times New Roman"/>
                <w:b w:val="false"/>
                <w:i w:val="false"/>
                <w:color w:val="000000"/>
                <w:sz w:val="20"/>
              </w:rPr>
              <w:t xml:space="preserve">или возобновляет выполнение процедуры; относится </w:t>
            </w:r>
            <w:r>
              <w:br/>
            </w:r>
            <w:r>
              <w:rPr>
                <w:rFonts w:ascii="Times New Roman"/>
                <w:b w:val="false"/>
                <w:i w:val="false"/>
                <w:color w:val="000000"/>
                <w:sz w:val="20"/>
              </w:rPr>
              <w:t>
</w:t>
            </w:r>
            <w:r>
              <w:rPr>
                <w:rFonts w:ascii="Times New Roman"/>
                <w:b w:val="false"/>
                <w:i w:val="false"/>
                <w:color w:val="000000"/>
                <w:sz w:val="20"/>
              </w:rPr>
              <w:t>к компонентам схемы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Безусловный поток управления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2032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тонкая открытая стрелка, которая направлена от одного компонента схемы к другому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направления передачи управления от одного компонента схемы </w:t>
            </w:r>
            <w:r>
              <w:br/>
            </w:r>
            <w:r>
              <w:rPr>
                <w:rFonts w:ascii="Times New Roman"/>
                <w:b w:val="false"/>
                <w:i w:val="false"/>
                <w:color w:val="000000"/>
                <w:sz w:val="20"/>
              </w:rPr>
              <w:t>
</w:t>
            </w:r>
            <w:r>
              <w:rPr>
                <w:rFonts w:ascii="Times New Roman"/>
                <w:b w:val="false"/>
                <w:i w:val="false"/>
                <w:color w:val="000000"/>
                <w:sz w:val="20"/>
              </w:rPr>
              <w:t>к другому</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поток управления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31900" cy="3556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тонкая открытая стрелка, которая направлена от одного компонента схемы к другому и вдоль которой в квадратных скобках указано условие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направления передачи управления от одного компонента к другому, которое должно выполняться при определенном условии</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76400" cy="7239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со скругленными углами, в котором указаны код и наименование операции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выполняемой операции; относится к компонентам схемы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Вызов процедуры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5461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со скругленными углами, в котором указаны код и наименование вызываемой процедуры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вызываемой процедуры; относится к компонентам схемы</w:t>
            </w:r>
          </w:p>
        </w:tc>
      </w:tr>
      <w:tr>
        <w:trPr>
          <w:trHeight w:val="12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Прерывание потока исполнения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0" cy="5080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серого цвета со скругленными углами, в котором указано наименование прерывания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ситуации, когда выполнение процедуры не может быть продолжено до наступления определенного события; относится к компонентам схемы</w:t>
            </w:r>
          </w:p>
        </w:tc>
      </w:tr>
      <w:tr>
        <w:trPr>
          <w:trHeight w:val="13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узел потока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перечеркнутый крестом круг белого цвета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окончания одной из веток процедуры; относится к компонентам схемы.</w:t>
            </w:r>
          </w:p>
          <w:p>
            <w:pPr>
              <w:spacing w:after="20"/>
              <w:ind w:left="20"/>
              <w:jc w:val="both"/>
            </w:pPr>
            <w:r>
              <w:rPr>
                <w:rFonts w:ascii="Times New Roman"/>
                <w:b w:val="false"/>
                <w:i w:val="false"/>
                <w:color w:val="000000"/>
                <w:sz w:val="20"/>
              </w:rPr>
              <w:t>При достижении конечного узла потока выполнения процедуры продолжается при наличии других незавершенных веток</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потока исполнения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кольцо на фоне черного круга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окончания выполнения процедуры или группы процедур; относится </w:t>
            </w:r>
            <w:r>
              <w:br/>
            </w:r>
            <w:r>
              <w:rPr>
                <w:rFonts w:ascii="Times New Roman"/>
                <w:b w:val="false"/>
                <w:i w:val="false"/>
                <w:color w:val="000000"/>
                <w:sz w:val="20"/>
              </w:rPr>
              <w:t>
</w:t>
            </w:r>
            <w:r>
              <w:rPr>
                <w:rFonts w:ascii="Times New Roman"/>
                <w:b w:val="false"/>
                <w:i w:val="false"/>
                <w:color w:val="000000"/>
                <w:sz w:val="20"/>
              </w:rPr>
              <w:t>к компонентам схемы</w:t>
            </w:r>
          </w:p>
        </w:tc>
      </w:tr>
      <w:tr>
        <w:trPr>
          <w:trHeight w:val="16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Дорожка (swimlane)</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84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84300" cy="9017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вертикальный прямоугольник,  в верхней части которого указывается исполнитель, а в нижней – действия, выполняемые данным исполнителем</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группировки действий, которые выполняются одним исполнителем</w:t>
            </w:r>
          </w:p>
        </w:tc>
      </w:tr>
      <w:tr>
        <w:trPr>
          <w:trHeight w:val="15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информационного объекта общего процесса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76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76400" cy="4826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в котором указано наименование информационного объекта общего процесса и его текущее состояние (в квадратных скобках)</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состояния информационного объекта общего процесса, которое устанавливается в результате выполнения операций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нотации схем, иллюстрирующих структуру информационного взаимодействия общего процесса</w:t>
            </w:r>
          </w:p>
        </w:tc>
      </w:tr>
      <w:tr>
        <w:trPr>
          <w:trHeight w:val="15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Роль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128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12800" cy="11303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схематическое изображение человека, под которым указано наименование роли участника в информационном взаимодействии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роли участника общего процесса </w:t>
            </w:r>
            <w:r>
              <w:br/>
            </w:r>
            <w:r>
              <w:rPr>
                <w:rFonts w:ascii="Times New Roman"/>
                <w:b w:val="false"/>
                <w:i w:val="false"/>
                <w:color w:val="000000"/>
                <w:sz w:val="20"/>
              </w:rPr>
              <w:t>
</w:t>
            </w:r>
            <w:r>
              <w:rPr>
                <w:rFonts w:ascii="Times New Roman"/>
                <w:b w:val="false"/>
                <w:i w:val="false"/>
                <w:color w:val="000000"/>
                <w:sz w:val="20"/>
              </w:rPr>
              <w:t>в информационном взаимодействии</w:t>
            </w:r>
          </w:p>
        </w:tc>
      </w:tr>
      <w:tr>
        <w:trPr>
          <w:trHeight w:val="13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Сценарий использования взаимодействия общего процесса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62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62100" cy="12827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овал, под которым указано наименование взаимодействия общего процесса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сценария использования взаимодействия общего процесса</w:t>
            </w:r>
          </w:p>
        </w:tc>
      </w:tr>
      <w:tr>
        <w:trPr>
          <w:trHeight w:val="10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участия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31900" cy="2921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тонкая линия с надписью «Участие», которая соединяет роль и сценарий использования взаимодействия общего процесса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отношения роли и сценария использования взаимодействия общего процесса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нотации схем последовательности исполнения транзакций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жизни (lifeline) участника взаимодействия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90600" cy="11684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в котором указано наименование роли, с пунктирной линией, направленной вертикально вниз</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роли, которую выполняет участник взаимодействии. Вертикальная линия представляет временную ось, при этом начальному моменту времени соответствует верхняя часть схемы. Процесс взаимодействия обозначается посредством транзакций общего процесса, связывающих линии жизни участников взаимодействия. Транзакции общего процесса обозначаются в виде горизонтальных стрелок с наименованием и кодом транзакции и образуют определенный порядок относительно времени своей инициализации. Транзакции, расположенные на схеме выше, передаются раньше тех, которые расположены ниже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Односторонняя транзакция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4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44700" cy="4699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сплошная горизонтальная линия с открытой стрелкой, направленная от инициатора к респонденту, на которой указаны наименование и код транзакции (код – в круглых скобках)</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одностороннего оповещения или представления сведений, которое не требует отправки ответного сообщения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Двусторонняя транзакция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06600" cy="5334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сплошная горизонтальная линия с закрытой стрелкой, направленная от инициатора к респонденту, на которой указаны наименование и код транзакции, и обратная пунктирная линия с закрытой стрелкой</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двусторонней транзакции общего процесса, при которой требуется ответное сообщение общего процесса. Пунктирная линия обозначает ответное сообщение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Условное взаимодействие</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19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19300" cy="7239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охватывающий все линии жизни участников взаимодействия, в левом верхнем углу которого указан символ «opt» и в квадратных скобках приведено сторожевое условие (guard condition). Внутри прямоугольника изображены транзакции, выполняемые при наступлении сторожевого условия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комбинации транзакций, которые должны выполняться только при наступлении определенного условия (сторожевое условие). При выполнении сторожевого условия выполняются все транзакции, изображенные внутри прямоугольника, представляющего условное взаимодействие. В ином случае не выполняется ни одна </w:t>
            </w:r>
            <w:r>
              <w:br/>
            </w:r>
            <w:r>
              <w:rPr>
                <w:rFonts w:ascii="Times New Roman"/>
                <w:b w:val="false"/>
                <w:i w:val="false"/>
                <w:color w:val="000000"/>
                <w:sz w:val="20"/>
              </w:rPr>
              <w:t>
</w:t>
            </w:r>
            <w:r>
              <w:rPr>
                <w:rFonts w:ascii="Times New Roman"/>
                <w:b w:val="false"/>
                <w:i w:val="false"/>
                <w:color w:val="000000"/>
                <w:sz w:val="20"/>
              </w:rPr>
              <w:t>из указанных транзакций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нотации схем исполнения транзакций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Инициирование транзакции</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6223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 черного цвета, от которого направлена стрелка к инициирующей операции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участника общего процесса, который инициирует транзакцию</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Дорожка</w:t>
            </w:r>
            <w:r>
              <w:br/>
            </w:r>
            <w:r>
              <w:rPr>
                <w:rFonts w:ascii="Times New Roman"/>
                <w:b w:val="false"/>
                <w:i w:val="false"/>
                <w:color w:val="000000"/>
                <w:sz w:val="20"/>
              </w:rPr>
              <w:t>
</w:t>
            </w:r>
            <w:r>
              <w:rPr>
                <w:rFonts w:ascii="Times New Roman"/>
                <w:b w:val="false"/>
                <w:i w:val="false"/>
                <w:color w:val="000000"/>
                <w:sz w:val="20"/>
              </w:rPr>
              <w:t>(swimlane)</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09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09700" cy="9144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вертикальный прямоугольник, в верхней части которого указывается исполнитель (инициатор или респондент), а в нижней – действия, выполняемые данным исполнителем</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группировки действий, которые выполняются исполнителем (инициатором или респондентом)</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52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52600" cy="7366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со скругленными углами, в котором указано наименование инициирующей операции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операции, которая инициирует транзакцию</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0" cy="7112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со скругленными углами, в котором указано наименование принимающей операции</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операции, которая принимает транзакцию</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Сообщение-запрос (сообщение-уведомление)</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0" cy="4699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сплошная горизонтальная линия с открытой стрелкой, направленная от инициирующей операции к принимающей операции, на которой указаны наименование и код (код – в круглых скобках) сообщения общего процесса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сообщения общего процесса, которое передается от инициатора респонденту в рамках транзакции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Сообщение-ответ</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4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44700" cy="4826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сплошная горизонтальная линия с открытой стрелкой, направленная от принимающей операции к инициирующей операции, на которой указаны наименование и код (код – в круглых скобках) сообщения общего процесса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сообщения общего процесса, которое передается от респондента инициатору в рамках двусторонней транзакции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Условный переход</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6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66800" cy="5969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тонкая открытая стрелка, которая направлена от инициирующей операции и перпендикулярно которой в квадратных скобках указано условие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результата транзакции общего процесса и (или) состояния информационного объекта общего процесса, приобретаемого </w:t>
            </w:r>
            <w:r>
              <w:br/>
            </w:r>
            <w:r>
              <w:rPr>
                <w:rFonts w:ascii="Times New Roman"/>
                <w:b w:val="false"/>
                <w:i w:val="false"/>
                <w:color w:val="000000"/>
                <w:sz w:val="20"/>
              </w:rPr>
              <w:t>
</w:t>
            </w:r>
            <w:r>
              <w:rPr>
                <w:rFonts w:ascii="Times New Roman"/>
                <w:b w:val="false"/>
                <w:i w:val="false"/>
                <w:color w:val="000000"/>
                <w:sz w:val="20"/>
              </w:rPr>
              <w:t xml:space="preserve">в результате выполнения транзакции, в зависимости </w:t>
            </w:r>
            <w:r>
              <w:br/>
            </w:r>
            <w:r>
              <w:rPr>
                <w:rFonts w:ascii="Times New Roman"/>
                <w:b w:val="false"/>
                <w:i w:val="false"/>
                <w:color w:val="000000"/>
                <w:sz w:val="20"/>
              </w:rPr>
              <w:t>
</w:t>
            </w:r>
            <w:r>
              <w:rPr>
                <w:rFonts w:ascii="Times New Roman"/>
                <w:b w:val="false"/>
                <w:i w:val="false"/>
                <w:color w:val="000000"/>
                <w:sz w:val="20"/>
              </w:rPr>
              <w:t>от определенного условия</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информационного объекта общего процесса</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00200" cy="4953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прямоугольник, в котором указано наименование информационного объекта общего процесса и его текущее состояние в квадратных скобках</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обозначения состояния информационного объекта общего процесса, приобретенного в результате выполнения транзакции общего процесса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транзакции</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444500"/>
                          </a:xfrm>
                          <a:prstGeom prst="rect">
                            <a:avLst/>
                          </a:prstGeom>
                        </pic:spPr>
                      </pic:pic>
                    </a:graphicData>
                  </a:graphic>
                </wp:inline>
              </w:drawing>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кольцо на фоне черного круга и подписью</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для обозначения результата выполнения транзакции общего процесса. </w:t>
            </w:r>
          </w:p>
          <w:p>
            <w:pPr>
              <w:spacing w:after="20"/>
              <w:ind w:left="20"/>
              <w:jc w:val="both"/>
            </w:pPr>
            <w:r>
              <w:rPr>
                <w:rFonts w:ascii="Times New Roman"/>
                <w:b w:val="false"/>
                <w:i w:val="false"/>
                <w:color w:val="000000"/>
                <w:sz w:val="20"/>
              </w:rPr>
              <w:t>Возможны подписи:</w:t>
            </w:r>
          </w:p>
          <w:p>
            <w:pPr>
              <w:spacing w:after="20"/>
              <w:ind w:left="20"/>
              <w:jc w:val="both"/>
            </w:pPr>
            <w:r>
              <w:rPr>
                <w:rFonts w:ascii="Times New Roman"/>
                <w:b w:val="false"/>
                <w:i w:val="false"/>
                <w:color w:val="000000"/>
                <w:sz w:val="20"/>
              </w:rPr>
              <w:t>«Успех» (если ожидаемый результат достигнут);</w:t>
            </w:r>
          </w:p>
          <w:p>
            <w:pPr>
              <w:spacing w:after="20"/>
              <w:ind w:left="20"/>
              <w:jc w:val="both"/>
            </w:pPr>
            <w:r>
              <w:rPr>
                <w:rFonts w:ascii="Times New Roman"/>
                <w:b w:val="false"/>
                <w:i w:val="false"/>
                <w:color w:val="000000"/>
                <w:sz w:val="20"/>
              </w:rPr>
              <w:t xml:space="preserve">«Неуспех» (если результат </w:t>
            </w:r>
            <w:r>
              <w:br/>
            </w:r>
            <w:r>
              <w:rPr>
                <w:rFonts w:ascii="Times New Roman"/>
                <w:b w:val="false"/>
                <w:i w:val="false"/>
                <w:color w:val="000000"/>
                <w:sz w:val="20"/>
              </w:rPr>
              <w:t>
</w:t>
            </w:r>
            <w:r>
              <w:rPr>
                <w:rFonts w:ascii="Times New Roman"/>
                <w:b w:val="false"/>
                <w:i w:val="false"/>
                <w:color w:val="000000"/>
                <w:sz w:val="20"/>
              </w:rPr>
              <w:t>не достигнут, например, отказ в представлении сведений);</w:t>
            </w:r>
          </w:p>
          <w:p>
            <w:pPr>
              <w:spacing w:after="20"/>
              <w:ind w:left="20"/>
              <w:jc w:val="both"/>
            </w:pPr>
            <w:r>
              <w:rPr>
                <w:rFonts w:ascii="Times New Roman"/>
                <w:b w:val="false"/>
                <w:i w:val="false"/>
                <w:color w:val="000000"/>
                <w:sz w:val="20"/>
              </w:rPr>
              <w:t>«Ошибка контроля» (если в рамках транзакции общего процесса возникли ошибки, которые не позволили получить результат (успешный или неуспешный))</w:t>
            </w:r>
          </w:p>
        </w:tc>
      </w:tr>
    </w:tbl>
    <w:p>
      <w:pPr>
        <w:spacing w:after="0"/>
        <w:ind w:left="0"/>
        <w:jc w:val="both"/>
      </w:pPr>
      <w:r>
        <w:drawing>
          <wp:inline distT="0" distB="0" distL="0" distR="0">
            <wp:extent cx="64262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26200" cy="2997200"/>
                    </a:xfrm>
                    <a:prstGeom prst="rect">
                      <a:avLst/>
                    </a:prstGeom>
                  </pic:spPr>
                </pic:pic>
              </a:graphicData>
            </a:graphic>
          </wp:inline>
        </w:drawing>
      </w:r>
    </w:p>
    <w:p>
      <w:pPr>
        <w:spacing w:after="0"/>
        <w:ind w:left="0"/>
        <w:jc w:val="both"/>
      </w:pPr>
      <w:r>
        <w:rPr>
          <w:rFonts w:ascii="Times New Roman"/>
          <w:b w:val="false"/>
          <w:i w:val="false"/>
          <w:color w:val="000000"/>
          <w:sz w:val="28"/>
        </w:rPr>
        <w:t>          Рис. 1. Пример схемы, иллюстрирующей</w:t>
      </w:r>
      <w:r>
        <w:br/>
      </w:r>
      <w:r>
        <w:rPr>
          <w:rFonts w:ascii="Times New Roman"/>
          <w:b w:val="false"/>
          <w:i w:val="false"/>
          <w:color w:val="000000"/>
          <w:sz w:val="28"/>
        </w:rPr>
        <w:t>
              структуру общего процесса</w:t>
      </w:r>
    </w:p>
    <w:p>
      <w:pPr>
        <w:spacing w:after="0"/>
        <w:ind w:left="0"/>
        <w:jc w:val="both"/>
      </w:pPr>
      <w:r>
        <w:drawing>
          <wp:inline distT="0" distB="0" distL="0" distR="0">
            <wp:extent cx="56388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638800" cy="5321300"/>
                    </a:xfrm>
                    <a:prstGeom prst="rect">
                      <a:avLst/>
                    </a:prstGeom>
                  </pic:spPr>
                </pic:pic>
              </a:graphicData>
            </a:graphic>
          </wp:inline>
        </w:drawing>
      </w:r>
    </w:p>
    <w:p>
      <w:pPr>
        <w:spacing w:after="0"/>
        <w:ind w:left="0"/>
        <w:jc w:val="both"/>
      </w:pPr>
      <w:r>
        <w:rPr>
          <w:rFonts w:ascii="Times New Roman"/>
          <w:b w:val="false"/>
          <w:i w:val="false"/>
          <w:color w:val="000000"/>
          <w:sz w:val="28"/>
        </w:rPr>
        <w:t>         Рис. 2. Пример схемы исполнения процедуры</w:t>
      </w:r>
      <w:r>
        <w:br/>
      </w:r>
      <w:r>
        <w:rPr>
          <w:rFonts w:ascii="Times New Roman"/>
          <w:b w:val="false"/>
          <w:i w:val="false"/>
          <w:color w:val="000000"/>
          <w:sz w:val="28"/>
        </w:rPr>
        <w:t>
         общего процесса с использованием событий</w:t>
      </w:r>
    </w:p>
    <w:p>
      <w:pPr>
        <w:spacing w:after="0"/>
        <w:ind w:left="0"/>
        <w:jc w:val="both"/>
      </w:pPr>
      <w:r>
        <w:drawing>
          <wp:inline distT="0" distB="0" distL="0" distR="0">
            <wp:extent cx="57277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727700" cy="4445000"/>
                    </a:xfrm>
                    <a:prstGeom prst="rect">
                      <a:avLst/>
                    </a:prstGeom>
                  </pic:spPr>
                </pic:pic>
              </a:graphicData>
            </a:graphic>
          </wp:inline>
        </w:drawing>
      </w:r>
    </w:p>
    <w:p>
      <w:pPr>
        <w:spacing w:after="0"/>
        <w:ind w:left="0"/>
        <w:jc w:val="both"/>
      </w:pPr>
      <w:r>
        <w:rPr>
          <w:rFonts w:ascii="Times New Roman"/>
          <w:b w:val="false"/>
          <w:i w:val="false"/>
          <w:color w:val="000000"/>
          <w:sz w:val="28"/>
        </w:rPr>
        <w:t>       Рис. 3. Пример схемы исполнения процедуры общего процесса</w:t>
      </w:r>
      <w:r>
        <w:br/>
      </w:r>
      <w:r>
        <w:rPr>
          <w:rFonts w:ascii="Times New Roman"/>
          <w:b w:val="false"/>
          <w:i w:val="false"/>
          <w:color w:val="000000"/>
          <w:sz w:val="28"/>
        </w:rPr>
        <w:t>
                с использованием конечного узла потока</w:t>
      </w:r>
    </w:p>
    <w:p>
      <w:pPr>
        <w:spacing w:after="0"/>
        <w:ind w:left="0"/>
        <w:jc w:val="both"/>
      </w:pPr>
      <w:r>
        <w:drawing>
          <wp:inline distT="0" distB="0" distL="0" distR="0">
            <wp:extent cx="56896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689600" cy="4102100"/>
                    </a:xfrm>
                    <a:prstGeom prst="rect">
                      <a:avLst/>
                    </a:prstGeom>
                  </pic:spPr>
                </pic:pic>
              </a:graphicData>
            </a:graphic>
          </wp:inline>
        </w:drawing>
      </w:r>
    </w:p>
    <w:p>
      <w:pPr>
        <w:spacing w:after="0"/>
        <w:ind w:left="0"/>
        <w:jc w:val="both"/>
      </w:pPr>
      <w:r>
        <w:rPr>
          <w:rFonts w:ascii="Times New Roman"/>
          <w:b w:val="false"/>
          <w:i w:val="false"/>
          <w:color w:val="000000"/>
          <w:sz w:val="28"/>
        </w:rPr>
        <w:t>            Рис. 4. Пример схемы исполнения процедуры</w:t>
      </w:r>
      <w:r>
        <w:br/>
      </w:r>
      <w:r>
        <w:rPr>
          <w:rFonts w:ascii="Times New Roman"/>
          <w:b w:val="false"/>
          <w:i w:val="false"/>
          <w:color w:val="000000"/>
          <w:sz w:val="28"/>
        </w:rPr>
        <w:t>
        общего процесса с использованием вызова процедуры</w:t>
      </w:r>
    </w:p>
    <w:p>
      <w:pPr>
        <w:spacing w:after="0"/>
        <w:ind w:left="0"/>
        <w:jc w:val="both"/>
      </w:pPr>
      <w:r>
        <w:drawing>
          <wp:inline distT="0" distB="0" distL="0" distR="0">
            <wp:extent cx="51689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68900" cy="3683000"/>
                    </a:xfrm>
                    <a:prstGeom prst="rect">
                      <a:avLst/>
                    </a:prstGeom>
                  </pic:spPr>
                </pic:pic>
              </a:graphicData>
            </a:graphic>
          </wp:inline>
        </w:drawing>
      </w:r>
    </w:p>
    <w:p>
      <w:pPr>
        <w:spacing w:after="0"/>
        <w:ind w:left="0"/>
        <w:jc w:val="both"/>
      </w:pPr>
      <w:r>
        <w:rPr>
          <w:rFonts w:ascii="Times New Roman"/>
          <w:b w:val="false"/>
          <w:i w:val="false"/>
          <w:color w:val="000000"/>
          <w:sz w:val="28"/>
        </w:rPr>
        <w:t>          Рис. 5. Пример схемы, иллюстрирующей структуру</w:t>
      </w:r>
      <w:r>
        <w:br/>
      </w:r>
      <w:r>
        <w:rPr>
          <w:rFonts w:ascii="Times New Roman"/>
          <w:b w:val="false"/>
          <w:i w:val="false"/>
          <w:color w:val="000000"/>
          <w:sz w:val="28"/>
        </w:rPr>
        <w:t>
                  информационного взаимодействия</w:t>
      </w:r>
    </w:p>
    <w:p>
      <w:pPr>
        <w:spacing w:after="0"/>
        <w:ind w:left="0"/>
        <w:jc w:val="both"/>
      </w:pPr>
      <w:r>
        <w:drawing>
          <wp:inline distT="0" distB="0" distL="0" distR="0">
            <wp:extent cx="59817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981700" cy="4546600"/>
                    </a:xfrm>
                    <a:prstGeom prst="rect">
                      <a:avLst/>
                    </a:prstGeom>
                  </pic:spPr>
                </pic:pic>
              </a:graphicData>
            </a:graphic>
          </wp:inline>
        </w:drawing>
      </w:r>
    </w:p>
    <w:p>
      <w:pPr>
        <w:spacing w:after="0"/>
        <w:ind w:left="0"/>
        <w:jc w:val="both"/>
      </w:pPr>
      <w:r>
        <w:rPr>
          <w:rFonts w:ascii="Times New Roman"/>
          <w:b w:val="false"/>
          <w:i w:val="false"/>
          <w:color w:val="000000"/>
          <w:sz w:val="28"/>
        </w:rPr>
        <w:t>            Рис. 6. Пример схемы последовательности</w:t>
      </w:r>
      <w:r>
        <w:br/>
      </w:r>
      <w:r>
        <w:rPr>
          <w:rFonts w:ascii="Times New Roman"/>
          <w:b w:val="false"/>
          <w:i w:val="false"/>
          <w:color w:val="000000"/>
          <w:sz w:val="28"/>
        </w:rPr>
        <w:t>
            исполнения транзакций общего процесса</w:t>
      </w:r>
    </w:p>
    <w:p>
      <w:pPr>
        <w:spacing w:after="0"/>
        <w:ind w:left="0"/>
        <w:jc w:val="both"/>
      </w:pPr>
      <w:r>
        <w:drawing>
          <wp:inline distT="0" distB="0" distL="0" distR="0">
            <wp:extent cx="64008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400800" cy="2959100"/>
                    </a:xfrm>
                    <a:prstGeom prst="rect">
                      <a:avLst/>
                    </a:prstGeom>
                  </pic:spPr>
                </pic:pic>
              </a:graphicData>
            </a:graphic>
          </wp:inline>
        </w:drawing>
      </w:r>
    </w:p>
    <w:p>
      <w:pPr>
        <w:spacing w:after="0"/>
        <w:ind w:left="0"/>
        <w:jc w:val="both"/>
      </w:pPr>
      <w:r>
        <w:rPr>
          <w:rFonts w:ascii="Times New Roman"/>
          <w:b w:val="false"/>
          <w:i w:val="false"/>
          <w:color w:val="000000"/>
          <w:sz w:val="28"/>
        </w:rPr>
        <w:t>              Рис. 7. Пример схемы исполнения</w:t>
      </w:r>
      <w:r>
        <w:br/>
      </w:r>
      <w:r>
        <w:rPr>
          <w:rFonts w:ascii="Times New Roman"/>
          <w:b w:val="false"/>
          <w:i w:val="false"/>
          <w:color w:val="000000"/>
          <w:sz w:val="28"/>
        </w:rPr>
        <w:t>
         односторонней транзакции общего процесса</w:t>
      </w:r>
    </w:p>
    <w:p>
      <w:pPr>
        <w:spacing w:after="0"/>
        <w:ind w:left="0"/>
        <w:jc w:val="both"/>
      </w:pPr>
      <w:r>
        <w:drawing>
          <wp:inline distT="0" distB="0" distL="0" distR="0">
            <wp:extent cx="6413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413500" cy="2946400"/>
                    </a:xfrm>
                    <a:prstGeom prst="rect">
                      <a:avLst/>
                    </a:prstGeom>
                  </pic:spPr>
                </pic:pic>
              </a:graphicData>
            </a:graphic>
          </wp:inline>
        </w:drawing>
      </w:r>
    </w:p>
    <w:p>
      <w:pPr>
        <w:spacing w:after="0"/>
        <w:ind w:left="0"/>
        <w:jc w:val="both"/>
      </w:pPr>
      <w:r>
        <w:rPr>
          <w:rFonts w:ascii="Times New Roman"/>
          <w:b w:val="false"/>
          <w:i w:val="false"/>
          <w:color w:val="000000"/>
          <w:sz w:val="28"/>
        </w:rPr>
        <w:t>               Рис. 8. Пример схемы исполнения</w:t>
      </w:r>
      <w:r>
        <w:br/>
      </w:r>
      <w:r>
        <w:rPr>
          <w:rFonts w:ascii="Times New Roman"/>
          <w:b w:val="false"/>
          <w:i w:val="false"/>
          <w:color w:val="000000"/>
          <w:sz w:val="28"/>
        </w:rPr>
        <w:t>
          двусторонней транзакции общего процесса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