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185e" w14:textId="01b1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05 мая 2015 года № 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280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Перечень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375, дополнить позицией 14 следующего содержания: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"14.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Временно ввозимые морские паромы (код 8901 10 100 9 ТН ВЭД ЕАЭС), находящиеся в собственности иностранных лиц, зафрахтованные лицами государств – членов Евразийского экономического союза по договору тайм-чартера или бербоут-чартера в целях осуществления перевозок грузов и пассажиров на линиях порт Кавказ – порт Керчь, порт Новороссийск – порт Феодосия, порт Геленджик – порт Керчь, порт Темрюк – порт Керчь, порт Новороссийск – порт Керчь, порт Новороссийск – порт Севастополь,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которых предоставлено полное условное освобождение от уплаты ввозных таможенных пошлин, налогов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вступления в силу Решения Совета Евразийской экономической комиссии от 28 мая 2015 г. № 24.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