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185e" w14:textId="01b1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5 мая 2015 года №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, дополнить позицией 14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.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 ввозимые морские паромы (код 8901 10 100 9 ТН ВЭД ЕАЭС), находящиеся в собственности иностранных лиц, зафрахтованные лицами государств – членов Евразийского экономического союза по договору тайм-чартера или бербоут-чартера в целях осуществления перевозок грузов и пассажиров на линиях порт Кавказ – порт Керчь, порт Новороссийск – порт Феодосия, порт Геленджик – порт Керчь, порт Темрюк – порт Керчь, порт Новороссийск – порт Керчь, порт Новороссийск – порт Севастопо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которых предоставлено полное условное освобождение от уплаты ввозных таможенных пошлин, налог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Решения Совета Евразийской экономической комиссии от 28 мая 2015 г. № 24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