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7d04" w14:textId="da37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Решение Комиссии Таможенного союза от 27 ноября 2009 г. № 130"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февраля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 внесении изменений в Решение Комиссии Таможенного союза от 27 ноября 2009 г. № 130» (прилагается) и представить его для рассмотрения Советом Евразйской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 xml:space="preserve">
от 27 ноября 2009 г. № 130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пунктами 20 и 22 приложения № 1 к Регламенту работы Евразийской экономической комиссии,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Перечень развивающихся стран – пользователей системы тарифных преференций таможенного союза, предусмотренный указанным Решением, дополнить пунктами 55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77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Мальдивская Республика»;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Независимое Государство Самоа»;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Перечне наименее развитых стран – пользователей системы тарифных преференций таможенного союза, предусмотренном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27 и 33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«50. Республика Южный Судан».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52"/>
        <w:gridCol w:w="3788"/>
        <w:gridCol w:w="3411"/>
        <w:gridCol w:w="3349"/>
      </w:tblGrid>
      <w:tr>
        <w:trPr>
          <w:trHeight w:val="30" w:hRule="atLeast"/>
        </w:trPr>
        <w:tc>
          <w:tcPr>
            <w:tcW w:w="3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