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b7bb" w14:textId="807b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внесения в Евразийскую экономическую комиссию предложений государств – членов Евразийского экономического союза об установлении ставок ввозных таможенных пошлин (включая сезонные), тарифных квот, случаев и условий предоставления тарифных льгот и признании утратившими силу некоторых решений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апреля 2015 года № 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в Евразийскую экономическую комиссию предложений государств – членов Евразийского экономического союза об установлении ставок ввозных таможенных пошлин (включая сезонные), тарифных квот, случаев и условий предоставления тарифных льгот.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308 «О Регламенте внесения предложений по мерам регулирования внешней торговли в Комиссию таможенного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января 2011 г. № 531 «О Рекомендациях по подготовке доклада по итогам рассмотрения спорных вопросов таможенно-тарифного регулирования»;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 марта 2011 г. № 553 «О внесении изменений в Регламент внесения предложений по мерам регулирования внешней торговли в Комиссию Таможенного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31 марта 2015 г. № 23 «О порядке внесения в Евразийскую экономическую комиссию и подготовки Евразийской экономической комиссией предложений о введении или отмене единых мер нетарифного регулирования».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 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 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апреля 2015 г. № 45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>
внесения в Евразийскую экономическую комиссию предложений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 – членов Евразийского экономического союза </w:t>
      </w:r>
      <w:r>
        <w:br/>
      </w:r>
      <w:r>
        <w:rPr>
          <w:rFonts w:ascii="Times New Roman"/>
          <w:b/>
          <w:i w:val="false"/>
          <w:color w:val="000000"/>
        </w:rPr>
        <w:t>
об установлении ставок 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
(включая сезонные), тарифных квот, случаев и условий предоставления тарифных льгот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года),в целях обеспечения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64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 Решением Высшего Евразийского экономического совета от 23 декабря 2014 г. № 98 (далее – Регламент), и определяет процедуру внесения в Евразийскую экономическую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комиссию(далее – Комиссия) предложений государств – членов Евразийского экономического союза об установлении ставок ввозных таможенных пошлин (включая сезонные), тарифных квот, случаев и условий предоставления тарифных льгот (далее соответственно – предложение, меры таможенно-тарифного регулирования).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Предложение вносится в Комиссию органом государственной власти государства – члена Евразийского экономического союза, уполномоченным в соответствии с законодательством этого государства на взаимодействие с Комиссией (далее соответственно – уполномоченный орган, государство-член, Союз).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Предложение должно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обращение государства-члена в Комиссию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проекты актов органов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проекте решения Комиссии предусматривается детализация кода единой Товарной номенклатуры внешнеэкономической деятельности Евразийского экономического союза (далее – ТН ВЭД ЕАЭС),содержащегося в Пояснениях к единой Товарной номенклатуре внешнеэкономической деятельности Евразийского экономического союза, или включение в ТН ВЭД ЕАЭС дополнительного примечания Союза, а также если в указанные Пояснения необходимо включить разъясняющие положения в отношении выделяемой позиции ТН ВЭД ЕАЭС, то предложение должно содержать также проект рекомендации Коллегии Комиссии о внесении изменений в данные Пояснения;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пояснительную записку, содержащую следующую информацию (по каждой 10-значной позиции ТН ВЭД ЕАЭС, в которой классифицируется товар, в отношении которого предлагается ввести меру таможенно-тарифного регулирования):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товара с указанием его свойств, характеристик, функционального назначения и области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об основных потребителях или группах потребителей товара. В случае если товар используется для производства другого товара, то указывается доля стоимости товара, в отношении которого предлагается ввести меру таможенно-тарифного регулирования,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средней рыночной стоимости произведенного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сравнительная характеристика товара, производимого на территории государства-члена, с аналогичными товарами, производимыми в третьих странах (при производстве аналогичного товара на территории Союза) (при наличии возможности);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и характеристика, в том числе количественная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стоимостная, рынка товара (при наличии возможности).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предусмотренная абзацами третьим – пятым настоящего подпункта, представляется в отношении государства-члена, являющегося инициатором предложения, и при наличии возможности – других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статистические данные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финансово-экономическое обоснование проектов решений Комиссии, содержащее описание экономического эффекта от реализации решения, оценку возможного влияния решения на доходы бюджета государства-члена, структуру и объем экспорта и импорта государства-члена, экономическую деятельность национальных субъектов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иные документы и сведения, которые имеют значение для принятия органами Союза решения по рассматриваемому предложению, финансово-экономические расчеты, отражающие социально-экономическую эффективность введения предлагаемой меры таможенно-тарифного регулирования (при наличии возможности).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Если предложение предусматривает внесение изменений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ТН ВЭД ЕАЭС на уровне 10-го разряда кодового обозначения, то оно также должно содержать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критерии (классификационные признаки), в соответствии с которыми данный товар (вид товаров) может быть однозначно выделен из множества аналогичных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информация о товаре, для которого предлагается выделить отдельную позицию в ТН ВЭД ЕАЭС: комплектация, назначение, принцип работы, состав (если критерием классификации является содержание каких-либо веществ), процессы переработки (если критерием классификации является вид обработки товара или степень обработки товара), технические характеристики (если критериями классификации являются вес, размер, мощность, производительность, иные технические характеристики товара) и др.;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информация об имеющихся методиках, позволяющих проверить соответствие товара критериям, устанавливаемым предлагаемой к выделению позицией ТН ВЭД ЕАЭС в отношении отдельных категорий товаров (например, для товаров химической промышленности).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Если предложение предусматривает введение меры таможенно-тарифного регулирования в отношении товара, относящегося к сектору экономики, включенному в перечень секторов экономики, приоритетных для промышленного сотрудничества государств-членов, то оно также должно содержать оценку возможного влияния решения на развитие сотрудничества в таком секторе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Предложение об установлении тарифных квот должно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обращение государства-члена в Комиссию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пояснительную записку с обоснованием предложения;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информацию, предусмотренную подпунктами «б», «д» – «е» пункта 3 настоящего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Структурное подразделение Комиссии, к сфере ведения которого относятся вопросы таможенно-тарифного регулирования, обеспечивает рассмотрение внесенного уполномоченным органом государства-члена предложения и направление его другим государствам-членам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Регламента, а также проводит проверку этого предложения на предмет комплектности представленных материалов и полноты сведений, предусмотренных пунктами 3 – 6 настоящего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представления материалов или сведений не в полном объеме структурное подразделение Комиссии, к сфере ведения которого относятся вопросы таможенно-тарифного регулирования, направляет уполномоченному органу запрос о представлении необходимой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Представление запрашиваемой Комиссией у уполномоченного органа информации, а также позиции государства-члена по предложению другого государства-члена осуществляется в соответствии с пунктами 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Порядку внесения в Евразийскую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экономическую комиссию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предложений по установлению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ставок ввозных таможенных пошлин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(включая сезонные), тарифных квот,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случаев и условий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тарифных льгот           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(форма)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ОБРАЩЕНИЕ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государства – члена Евразийского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в Евразийскую экономическую комиссию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 (установлении ставок ввозных таможенных пошлин (включая сезонные),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случаев и условий предоставления тарифных льгот)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___________________________________________________________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(государство – член Евразийского экономического союза)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Наименование товара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Код товара в соответствии с ТН ВЭД ЕАЭС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Действующая (в том числе временная) 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таможенно-тарифного регулирования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Предлагаемая 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таможенно-тарифного регулирования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Предлагаемые коды ТН ВЭД ЕАЭС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(указываются в случае детализации ТН ВЭД ЕАЭС)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Предлагаемый срок действия меры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таможенно-тарифного регулирования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Примечания: 1.Форма заполняется на каждую меру таможенно-тарифного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2. В предложении об установлении ставок ввозных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таможенных пошлин (включая сезонные) или случаев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 условий предоставления тарифных льгот код товара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указывается в соответствии с ТН ВЭД ЕАЭС на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10-разрядного кодового обозначения.</w:t>
      </w:r>
    </w:p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Порядку внесения в Евразийскую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экономическую комиссию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предложений по установлению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ставок ввозных таможенных пошлин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(включая сезонные), тарифных квот,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случаев и условий предоставления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тарифных льгот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(форма)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СТАТИСТИЧЕСКИЕ ДАННЫЕ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по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(государство – член Евразийского экономического союза)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6"/>
        <w:gridCol w:w="1483"/>
        <w:gridCol w:w="1546"/>
        <w:gridCol w:w="1462"/>
        <w:gridCol w:w="1483"/>
        <w:gridCol w:w="1610"/>
      </w:tblGrid>
      <w:tr>
        <w:trPr>
          <w:trHeight w:val="810" w:hRule="atLeast"/>
        </w:trPr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год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год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год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(январь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(январь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0"/>
        <w:gridCol w:w="3576"/>
        <w:gridCol w:w="2059"/>
        <w:gridCol w:w="2059"/>
        <w:gridCol w:w="2038"/>
        <w:gridCol w:w="2038"/>
        <w:gridCol w:w="2040"/>
      </w:tblGrid>
      <w:tr>
        <w:trPr>
          <w:trHeight w:val="30" w:hRule="atLeast"/>
        </w:trPr>
        <w:tc>
          <w:tcPr>
            <w:tcW w:w="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потребления: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 (в единицах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ТН ВЭД ЕАЭС)</w:t>
            </w:r>
          </w:p>
        </w:tc>
        <w:tc>
          <w:tcPr>
            <w:tcW w:w="2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долларов США</w:t>
            </w:r>
          </w:p>
        </w:tc>
        <w:tc>
          <w:tcPr>
            <w:tcW w:w="2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импорта, %</w:t>
            </w:r>
          </w:p>
        </w:tc>
        <w:tc>
          <w:tcPr>
            <w:tcW w:w="2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производства:</w:t>
            </w:r>
          </w:p>
        </w:tc>
      </w:tr>
      <w:tr>
        <w:trPr>
          <w:trHeight w:val="405" w:hRule="atLeast"/>
        </w:trPr>
        <w:tc>
          <w:tcPr>
            <w:tcW w:w="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 (в единицах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ТН ВЭД ЕАЭС)</w:t>
            </w:r>
          </w:p>
        </w:tc>
        <w:tc>
          <w:tcPr>
            <w:tcW w:w="2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долларов США</w:t>
            </w:r>
          </w:p>
        </w:tc>
        <w:tc>
          <w:tcPr>
            <w:tcW w:w="2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экспорта, %</w:t>
            </w:r>
          </w:p>
        </w:tc>
        <w:tc>
          <w:tcPr>
            <w:tcW w:w="2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мощности:</w:t>
            </w:r>
          </w:p>
        </w:tc>
      </w:tr>
      <w:tr>
        <w:trPr>
          <w:trHeight w:val="30" w:hRule="atLeast"/>
        </w:trPr>
        <w:tc>
          <w:tcPr>
            <w:tcW w:w="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 (для промышленной продукции)</w:t>
            </w:r>
          </w:p>
        </w:tc>
        <w:tc>
          <w:tcPr>
            <w:tcW w:w="2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загрузки производственных мощностей:</w:t>
            </w:r>
          </w:p>
        </w:tc>
      </w:tr>
      <w:tr>
        <w:trPr>
          <w:trHeight w:val="30" w:hRule="atLeast"/>
        </w:trPr>
        <w:tc>
          <w:tcPr>
            <w:tcW w:w="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(для промышленной продукции)</w:t>
            </w:r>
          </w:p>
        </w:tc>
        <w:tc>
          <w:tcPr>
            <w:tcW w:w="2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Импорт:</w:t>
            </w:r>
          </w:p>
        </w:tc>
      </w:tr>
      <w:tr>
        <w:trPr>
          <w:trHeight w:val="405" w:hRule="atLeast"/>
        </w:trPr>
        <w:tc>
          <w:tcPr>
            <w:tcW w:w="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 (в единицах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ТН ВЭД ЕАЭС)</w:t>
            </w:r>
          </w:p>
        </w:tc>
        <w:tc>
          <w:tcPr>
            <w:tcW w:w="2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долларов США</w:t>
            </w:r>
          </w:p>
        </w:tc>
        <w:tc>
          <w:tcPr>
            <w:tcW w:w="2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от общего объема импорта, %</w:t>
            </w:r>
          </w:p>
        </w:tc>
        <w:tc>
          <w:tcPr>
            <w:tcW w:w="2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Экспорт:</w:t>
            </w:r>
          </w:p>
        </w:tc>
      </w:tr>
      <w:tr>
        <w:trPr>
          <w:trHeight w:val="30" w:hRule="atLeast"/>
        </w:trPr>
        <w:tc>
          <w:tcPr>
            <w:tcW w:w="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 (в единицах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ТН ВЭД ЕАЭС)</w:t>
            </w:r>
          </w:p>
        </w:tc>
        <w:tc>
          <w:tcPr>
            <w:tcW w:w="2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долларов США</w:t>
            </w:r>
          </w:p>
        </w:tc>
        <w:tc>
          <w:tcPr>
            <w:tcW w:w="2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от общего объема экспорта, %</w:t>
            </w:r>
          </w:p>
        </w:tc>
        <w:tc>
          <w:tcPr>
            <w:tcW w:w="2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Примечания: 1. Статистические данные приводятся по каждому коду ТН               ВЭД ЕАЭС на уровне 10-разрядного кодового обозначения.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2. В отношении сельскохозяйственной продукции, сырья,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товаров легкой и пищевой промышленности, технологического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оборудования и товаров, не производимых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Евразийского экономического союза, показатели могут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скорректированы.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3. Информация представляется за 3 календарных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предшествующих году внесения в Евразийскую экономическую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комиссию предложения в соответствии с Порядком внесения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Евразийскую экономическую комиссию предложений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установлению ставок ввозных таможенных пошлин (включая             сезонные), тарифных квот, случаев и условий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предоставления тарифных льгот, утвержденным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Коллегии Евразийскойэкономическойкомиссии от 2015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№ 45, а также за последний период текущего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за который имеются данные, и за аналогичный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предшествующего года.</w:t>
      </w:r>
    </w:p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Порядку внесения в Евразийскую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экономическую комиссию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предложений по установлению ставок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ввозных таможенных пошлин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(включая сезонные), тарифных квот,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случаев и условий предоставления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тарифных льгот 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(форма)</w:t>
      </w:r>
    </w:p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ОБРАЩЕНИЕ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государства – члена Евразийского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 в Евразийскую экономическую комиссию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 об установлении тарифных квот для ввоза отдельных видов                сельскохозяйственных товаров на территорию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(государство – член Евразийского экономического союза)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Заявитель _____________________________________________________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(государство – член Евразийского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товара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товара в соответствии с ТН ВЭД ЕАЭС ___________________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5"/>
        <w:gridCol w:w="3505"/>
        <w:gridCol w:w="2586"/>
        <w:gridCol w:w="3404"/>
      </w:tblGrid>
      <w:tr>
        <w:trPr>
          <w:trHeight w:val="30" w:hRule="atLeast"/>
        </w:trPr>
        <w:tc>
          <w:tcPr>
            <w:tcW w:w="4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предшествующий году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Евразийскую экономическую комиссию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 (оценка)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Год, следующий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годом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Евразийскую экономическую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комиссию (прогноз)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год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год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94"/>
        <w:gridCol w:w="3510"/>
        <w:gridCol w:w="2587"/>
        <w:gridCol w:w="3409"/>
      </w:tblGrid>
      <w:tr>
        <w:trPr>
          <w:trHeight w:val="30" w:hRule="atLeast"/>
        </w:trPr>
        <w:tc>
          <w:tcPr>
            <w:tcW w:w="4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потребления,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тонн </w:t>
            </w:r>
          </w:p>
        </w:tc>
        <w:tc>
          <w:tcPr>
            <w:tcW w:w="3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</w:t>
            </w:r>
          </w:p>
        </w:tc>
        <w:tc>
          <w:tcPr>
            <w:tcW w:w="3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импорта,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тонн </w:t>
            </w:r>
          </w:p>
        </w:tc>
        <w:tc>
          <w:tcPr>
            <w:tcW w:w="3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экспорта,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</w:t>
            </w:r>
          </w:p>
        </w:tc>
        <w:tc>
          <w:tcPr>
            <w:tcW w:w="3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тарифной квоты,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