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6924" w14:textId="bca6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светодиодной лампы по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05 мая 2015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решением Коллегии Евразийской экономической комиссии от 21.04.2020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Светодиодная лампа, состоящая из размещенных в едином корпусе нескольких светодиодов и печатной платы, предназначенной для выпрямления переменного тока и преобразования напряжения до уровня, пригодного для использования светодиодами, оснащенная теплоотводом и резьбовым цоколем, в соответствии с Основными правилами интерпретации Товарной номенклатуры внешнеэкономической деятельности 1 и 6 классифицируется в подсубпозиции 8539 52 000 3 единой Товарной номенклатуры внешнеэкономической деятельности Евразийского экономического союза (примеры изображений светодиодной лампы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Коллегии Евразийской экономической комиссии от 21.11.2016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01.01.2017); от 21.04.2020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21.09.2021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Светодиодная лампа, состоящая из размещенных в едином корпусе нескольких светодиодов и печатной платы, предназначенной для выпрямления переменного тока и преобразования напряжения до уровня, пригодного для использования светодиодами, оснащенная теплоотводом и двухштырьковым цоколем, в соответствии с Основными правилами интерпретации Товарной номенклатуры внешнеэкономической деятельности 1 и 6 классифицируется в подсубпозиции 8539 52 000 9 единой </w:t>
      </w:r>
      <w:r>
        <w:rPr>
          <w:rFonts w:ascii="Times New Roman"/>
          <w:b w:val="false"/>
          <w:i w:val="false"/>
          <w:color w:val="000000"/>
          <w:sz w:val="28"/>
        </w:rPr>
        <w:t>Товарной номенклатуры внешнеэкономической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(примеры изображений светодиодной лампы приведены в приложении).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1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21.09.2021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с изменением, внесенным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г. № 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ПРИМЕРЫ</w:t>
      </w:r>
      <w:r>
        <w:br/>
      </w:r>
      <w:r>
        <w:rPr>
          <w:rFonts w:ascii="Times New Roman"/>
          <w:b/>
          <w:i w:val="false"/>
          <w:color w:val="000000"/>
        </w:rPr>
        <w:t xml:space="preserve">изображений светодиодной лампы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