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ffe46" w14:textId="2bffe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ставки ввозной таможенной пошлины Единого таможенного тарифа Евразийского экономического союза в отношении турбовинтовых двигателей мощностью не более 1100 кВт для гражданских воздушных судов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10 марта 2015 года № 16. Утратило силу решением Коллегии Евразийской экономической комиссии от 17 августа 2021 года № 100.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Решение утратило силу Решением Коллегии Евразийской экономической комиссии от 17.08.2021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(порядок введения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Договора о Евразийском экономическом союзе от 29 мая 2014 года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ставку ввозной таможенной пошлины Единого таможенного тарифа Евразийского экономического союза (приложение к </w:t>
      </w:r>
      <w:r>
        <w:rPr>
          <w:rFonts w:ascii="Times New Roman"/>
          <w:b w:val="false"/>
          <w:i w:val="false"/>
          <w:color w:val="000000"/>
          <w:sz w:val="28"/>
        </w:rPr>
        <w:t>Решению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16 июля 2012 г. № 54) в отношении турбовинтовых двигателей мощностью не более 1100 кВт для гражданских воздушных судов, классифицируемых кодом 8411 21 000 1 ТН ВЭД ЕАЭС, в размере 0 процентов от таможенной стоимости.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 календарных дней с даты его официального опубликования.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Коллегии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Евразийской экономической комиссии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Христенко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