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612c" w14:textId="7806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перспективных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пунктами 13 и 14 плана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11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научного потенциала, развития и углубления сотрудничества государств – членов Евразийского экономического союза в научной и инновационной деятельности, а также разработки механизмов проведения совместных научных исследований государств – членов Евразийского экономического союза в сфере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совместной научно-исследовательской деятельности в сфере агропромышленного комплекса руководствоваться перечнем перспективных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до 2020 года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1 сентября 2015 г. представить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организациях – координаторах реализации перспективных научно-исследовательских и опытно-конструкторских работ, предусмотренных приложением к настоящей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проводимых и планируемых до 2020 года исследованиях (проектах), реализуемых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научно-исследовательских и опытно-конструкторских работ, предусмотренных приложением к настоящей Рекомендации, и объемах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порядке проведения совместных научных исследований государств – членов Евразийского экономического союза в сфере агропромышленного комплекса.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г. № 14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перспективных научно-исследовательских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опытно-конструкторских работ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до 2020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факторам.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и совершенствование технологий селекции и семеноводства кормовых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технологии получения и применения перспективных биологических средств защиты овощных культур от болезней и вредителей.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единой системы оценки племенной ценности и методов геномной селекции племенных животных на основе биотехнологических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полноцикловой технологии выращивания товарного судака комбинированными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комплексных препаратов на основе биологически активных веществ для терапии и профилактики болезней высокопродуктивных животных и птиц, связанных с нарушением обмена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Разработка организационно-экономических механизмов устойчивого развития агропромышленного комплекса и сельских территорий государств – членов Евразийского экономического союза в целях обеспечения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 систем, стратегий и механизмов развития межгосударственной кооперации в агропромышленном комплексе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механизмов развития общего аграрного рынка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 ресурсо- и энергосберегающих технологий и технических средств для глубокой переработки зерновых и овощных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Разработка перспективных малозатратных технологий и системы машин для производства и переработки молока.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Разработка моделей формирования межгосударственных кластеров в целях развития общего аграрного рынка Евразийского экономического союза.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