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352" w14:textId="504b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127.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127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200 кВт, но не более 300 кВт: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300 кВт, но не более 500 кВт: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установок кондиционирования воздуха субпозиции 8415 81, 8415 82 или 8415 83,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735 Вт, но не более 150 кВт,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мощностью не более 150 кВт и генераторы,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двигатели постоянного тока мощностью более 75 кВт, но не более 100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735 Вт, но не более 750 Вт,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не более 150 кВт,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поликристаллические полупроводниковые 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не более 7,5 кВА: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входным напряжением постоянного тока не менее 2 кВ, но не более 4 кВ, содержащие четыре выходных канала с суммарной мощностью 386 кВА и с выходными напряжениями переменного тока на одном из каналов 380 В/50 Гц, на другом 456 В/60 Гц и на двух каналах или 380 В/50 Гц, или 240 В/40 Гц, или 95 В/25 Гц13)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жидким электролитом: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соотношением ширина/высота экрана менее 1,5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Бескодовая подсубпозиция после подсубпозиции 8507 20 800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127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200 кВт, но не более 300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300 кВт, но не более 500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установок кондиционирования воздуха субпозиции 8415 81, 8415 82 или 8415 83,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735 Вт, но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мощностью не более 150 кВт и генераторы,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двигатели постоянного тока мощностью более 75 кВт, но не более 100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735 Вт, но не более 750 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поликристаллические полупроводниковые 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не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жидким электролитом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соотношением ширина/высота экрана менее 1,5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127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200 кВт, но не более 300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300 кВт, но не более 500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установок кондиционирования воздуха субпозиции 8415 81, 8415 82 или 8415 83,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735 Вт, но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мощностью не более 150 кВт и генераторы,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двигатели постоянного тока мощностью более 75 кВт, но не более 100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735 Вт, но не более 750 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поликристаллические полупроводниковые 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не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2,2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2,57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жидким электролитом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соотношением ширина/высота экрана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