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893" w14:textId="a800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таможенной территории таможенного союза, утвержденное Решением Комиссии Таможенного союза от 18 июня 2010 г. № 317,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«Едином порядке» заменить словами «едином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и по тексту слова «таможенный союз» в соответствующем падеже заменить словами «Таможенный союз»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2.1.13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«2.1.13. «компетентный орган страны-экспортера» – государственный орган страны-экспортера, к компетенции которого относятся вопросы ветеринарного контроля (надзора) и (или) обеспечения благополучия и защиты здоровья животных, а также международной ветеринарной сертификации.»;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пункт 3.8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«Ветеринарные сертификаты, оформленные на бумажных бланках, должны быть подписаны должностным лицом компетентного органа страны-экспортера и должны иметь печать этого органа. Каждая страница ветеринарного сертификата должна содержать уникальный номер ветеринарного сертификата и два числа, первое из которых обозначает порядковый номер страницы, второе – общее число страниц, между этими числами ставится слово «из». В тексте ветеринарного сертификата не допускаются исправления, за исключением зачеркиваний, предусмотренных формой ветеринарного сертификата или осуществляемых в других согласованных случаях. Такие изменения должны быть заверены подписью должностного лица компетентного органа страны-экспортера и печатью этого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или повреждения ветеринарного сертификата, выданного компетентным органом страны-экспортера, взамен может быть оформлен новый ветеринарный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должностным лицом компетентного органа страны-экспортера при оформлении ветеринарного сертификата допущена техническая ошибка или выяснилось, что начальная информация, указанная в ветеринарном сертификате, была неверна, допускается изменение следующей содержащейся в нем информации: название и адрес грузоотправителя, название и адрес грузополучателя, транспорт (№ вагона, автомашины, рейс самолета, название судна), страна (страны) транзита, пункт пересечения таможенной границы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допускаются, если они сделаны должностным лицом компетентного органа страны-экспортера не в нарушение правил сертификации и их исправление не меняет характеристик груза, а также его пригодность для использования по назначению в соответствии с установленными страной-импортером требованиями. Внесенные изменения должны быть заверены подписью должностного лица компетентного органа страны-экспортера и печатью этого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ветеринарного сертификата осуществляется выдавшим его компетентным органом страны-экспортера. В новом сертификате делается запись о том, что он заменяет ранее выданный ветеринарный сертификат, а также указываются номер и дата выдачи утерянного (поврежденного) ветеринарного сертификата. Замененный новым ветеринарный сертификат должен быть отменен и по возможности возвращен в выдавший его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 </w:t>
      </w:r>
      <w:r>
        <w:rPr>
          <w:rFonts w:ascii="Times New Roman"/>
          <w:b w:val="false"/>
          <w:i w:val="false"/>
          <w:color w:val="000000"/>
          <w:sz w:val="28"/>
        </w:rPr>
        <w:t>пункт 3.9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ввоза на таможенную территорию Таможенного союза подконтрольного товара в сопровождении ветеринарного сертификата, который отличается от форм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607, согласован уполномоченным органом Стороны и третьей страной и в котором имеются различающиеся требования или условия ввоза подконтрольного товара на территории разных Сторон, страна-импортер обеспечивает контроль за обращением ввезенного товара таким образом, чтобы исключить его перемещение на территорию Стороны, на которую его ввоз запрещен.»;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пункте 6.3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«страны – отправления» заменить словами «страны-экспортера».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