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9917" w14:textId="e3d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углеводородов ациклических насыщенных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внести в группу 29 единой Товарной номенклатуры внешнеэкономической деятельности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</w:t>
      </w:r>
      <w:r>
        <w:br/>
      </w:r>
      <w:r>
        <w:rPr>
          <w:rFonts w:ascii="Times New Roman"/>
          <w:b/>
          <w:i w:val="false"/>
          <w:color w:val="000000"/>
        </w:rPr>
        <w:t>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насыщенные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</w:t>
      </w:r>
      <w:r>
        <w:br/>
      </w:r>
      <w:r>
        <w:rPr>
          <w:rFonts w:ascii="Times New Roman"/>
          <w:b/>
          <w:i w:val="false"/>
          <w:color w:val="000000"/>
        </w:rPr>
        <w:t>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насыщенные: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этан; бутан; изобутан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пентан; изопентан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66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этан; бутан; изобутан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пентан; изопентан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66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группу 29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дополнительными примечаниями Таможенного союза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"Дополнительные примечания Таможенного союза: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подсубпозицию 2901 10 000 1 включаются этан, бутан и изобутан в виде отдельных изомеров чистотой 95 % или более. Указанное процентное содержание соединений вычисляется соответственно по объему для газообразных продуктов или по массе для сжиженных продуктов. Этан, бутан и изобутан, имеющие меньшую степень чистоты, относятся к товарной позиции 2711.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подсубпозицию 2901 10 000 2 включаются пентан и изопентан в виде отдельных изомеров чистотой 95 мас. % или более.".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