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9917" w14:textId="e3d9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углеводородов ациклических насыщенных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66.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внести в группу 29 единой Товарной номенклатуры внешнеэкономической деятельности Таможенного союза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г. № 66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</w:t>
      </w:r>
      <w:r>
        <w:br/>
      </w:r>
      <w:r>
        <w:rPr>
          <w:rFonts w:ascii="Times New Roman"/>
          <w:b/>
          <w:i w:val="false"/>
          <w:color w:val="000000"/>
        </w:rPr>
        <w:t>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насыщенные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г. № 66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</w:t>
      </w:r>
      <w:r>
        <w:br/>
      </w:r>
      <w:r>
        <w:rPr>
          <w:rFonts w:ascii="Times New Roman"/>
          <w:b/>
          <w:i w:val="false"/>
          <w:color w:val="000000"/>
        </w:rPr>
        <w:t>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насыщенные: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этан; бутан; изобутан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пентан; изопентан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г. № 66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этан; бутан; изобутан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пентан; изопентан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г. № 66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группу 29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дополнительными примечаниями Таможенного союза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"Дополнительные примечания Таможенного союза: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подсубпозицию 2901 10 000 1 включаются этан, бутан и изобутан в виде отдельных изомеров чистотой 95 % или более. Указанное процентное содержание соединений вычисляется соответственно по объему для газообразных продуктов или по массе для сжиженных продуктов. Этан, бутан и изобутан, имеющие меньшую степень чистоты, относятся к товарной позиции 2711.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подсубпозицию 2901 10 000 2 включаются пентан и изопентан в виде отдельных изомеров чистотой 95 мас. % или более.".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