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e87d" w14:textId="b94e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вступлении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сентября 2014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завершении государствами – членами Таможенного союза и Единого экономического пространства процедур, необходимых для вступления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подписанного в г. Санкт-Петербурге 23 апреля 2012 г.,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вступлении в силу Протокола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2042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 г.Москва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вступлении в силу Протокола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Соглашение об определении таможенной стоимости товаров,</w:t>
      </w:r>
      <w:r>
        <w:br/>
      </w:r>
      <w:r>
        <w:rPr>
          <w:rFonts w:ascii="Times New Roman"/>
          <w:b/>
          <w:i w:val="false"/>
          <w:color w:val="000000"/>
        </w:rPr>
        <w:t>
перемещаемых через таможенную границу Таможенного союза,</w:t>
      </w:r>
      <w:r>
        <w:br/>
      </w:r>
      <w:r>
        <w:rPr>
          <w:rFonts w:ascii="Times New Roman"/>
          <w:b/>
          <w:i w:val="false"/>
          <w:color w:val="000000"/>
        </w:rPr>
        <w:t>
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2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года, подписанный в г. Санкт-Петербурге 23 апреля 2012 г., считать вступившим в силу.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0"/>
        <w:gridCol w:w="4487"/>
        <w:gridCol w:w="4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