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84d8c" w14:textId="f384d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Комиссии Таможенного союза от 27 ноября 2009 г. № 130 "О едином таможенно-тарифном регулировании таможенного союза Республики Беларусь, Республики Казахстан и Российской Федерации" в отношении отдельных видов гражданских грузовых самолетов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4 марта 2014 года № 29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Евразийской экономической комиссии от 18 ноября 2011 года и </w:t>
      </w:r>
      <w:r>
        <w:rPr>
          <w:rFonts w:ascii="Times New Roman"/>
          <w:b w:val="false"/>
          <w:i w:val="false"/>
          <w:color w:val="000000"/>
          <w:sz w:val="28"/>
        </w:rPr>
        <w:t>Регламентом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работы Евразийской экономической комиссии, утвержденным Решением Высшего Евразийского экономического совета от 18 ноября 2011 г. № 1, и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едином таможенно-тарифном регулировании от 25 января 2008 года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Комиссии Таможенного союза от 27 ноября 2009 г. № 130 «О едином таможенно-тарифном регулировании таможенного союза Республики Беларусь, Республики Казахстан и Российской Федерации» подпунктом 7.1.19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«7.1.19. Гражданские грузовые самолеты подсубпозиции 8802 40 003 9 ТН ВЭД ТС с максимальной взлетной массой не менее 60 000 кг, но не более 80 000 кг, ввозимые по 31 декабря 2017 г. включительно в Республику Казахстан.».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3"/>
        <w:gridCol w:w="4173"/>
        <w:gridCol w:w="4133"/>
      </w:tblGrid>
      <w:tr>
        <w:trPr>
          <w:trHeight w:val="42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Совета Евразийской экономической комиссии:</w:t>
            </w:r>
          </w:p>
        </w:tc>
      </w:tr>
      <w:tr>
        <w:trPr>
          <w:trHeight w:val="420" w:hRule="atLeast"/>
        </w:trPr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