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ec75" w14:textId="a91e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технических регламентов Таможенного союза "О безопасности лакокрасочных материалов» и "О безопасности синтетических моющих средств и товаров бытовой химии"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апреля 2014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Отметить отсутствие замечаний государств–членов Таможенного союза и Единого экономического пространства по проектам технических регламентов Таможенного союза «О безопасности лакокрасочных материалов» и «О безопасности синтетических моющих средств и товаров бытовой химии».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 учетом пакетного принципа решения Совета Евразийской экономической комиссии о принятии трех технических регламентов Таможенного союза в сфере безопасности химической продукции «О безопасности химической продукции», «О безопасности лакокрасочных материалов», «О безопасности синтетических моющих средств и товаров бытовой химии» до 20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