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dccf" w14:textId="c50d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14 марта 2013 г.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апреля 2014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комиссии, утвержденным Решением Высшего Евразийского экономического совета от 18 ноября 2011 г. № 1, и приняв к сведению информацию Коллегии Евразийской экономической комиссии,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марта 2013 г. № 16 «О реализации Соглашения о регулировании доступа к услугам железнодорожного транспорта, включая основы тарифной политики от 9 декабря 2010 года»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«правительств» заменить словом «государств»;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преамбуле прилагаемого </w:t>
      </w:r>
      <w:r>
        <w:rPr>
          <w:rFonts w:ascii="Times New Roman"/>
          <w:b w:val="false"/>
          <w:i w:val="false"/>
          <w:color w:val="000000"/>
          <w:sz w:val="28"/>
        </w:rPr>
        <w:t>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реализации Соглашения о регулировании доступа к услугам железнодорожного транспорта, включая основы тарифной политики от 9 декабря 2010 года» слово «правительств» заменить словом «государств».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