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428e" w14:textId="6cc4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Высшего Евразийского экономического совета "Об Основных направлениях развития механизма "единого окна» в системе регулирования внешнеэкономической деятельности"</w:t>
      </w:r>
    </w:p>
    <w:p>
      <w:pPr>
        <w:spacing w:after="0"/>
        <w:ind w:left="0"/>
        <w:jc w:val="both"/>
      </w:pPr>
      <w:r>
        <w:rPr>
          <w:rFonts w:ascii="Times New Roman"/>
          <w:b w:val="false"/>
          <w:i w:val="false"/>
          <w:color w:val="000000"/>
          <w:sz w:val="28"/>
        </w:rPr>
        <w:t>Решение Совета Евразийской экономической комиссии от 28 апреля 2014 года № 23</w:t>
      </w:r>
    </w:p>
    <w:p>
      <w:pPr>
        <w:spacing w:after="0"/>
        <w:ind w:left="0"/>
        <w:jc w:val="both"/>
      </w:pPr>
      <w:bookmarkStart w:name="z1" w:id="0"/>
      <w:r>
        <w:rPr>
          <w:rFonts w:ascii="Times New Roman"/>
          <w:b w:val="false"/>
          <w:i w:val="false"/>
          <w:color w:val="000000"/>
          <w:sz w:val="28"/>
        </w:rPr>
        <w:t>
      Приняв к сведению информацию Коллегии Евразийской экономической комиссии о ходе работы по реализации </w:t>
      </w:r>
      <w:r>
        <w:rPr>
          <w:rFonts w:ascii="Times New Roman"/>
          <w:b w:val="false"/>
          <w:i w:val="false"/>
          <w:color w:val="000000"/>
          <w:sz w:val="28"/>
        </w:rPr>
        <w:t>Решения</w:t>
      </w:r>
      <w:r>
        <w:rPr>
          <w:rFonts w:ascii="Times New Roman"/>
          <w:b w:val="false"/>
          <w:i w:val="false"/>
          <w:color w:val="000000"/>
          <w:sz w:val="28"/>
        </w:rPr>
        <w:t xml:space="preserve"> Высшего Евразийского экономического совета от 19 декабря 2012 г. № 21 «О реализации основных направлений интеграции»,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решения Высшего Евразийского экономического совета «Об Основных направлениях развития механизма «единого окна» в системе регулирования внешнеэкономической деятельности» (прилагается) и внести его для рассмотрения на очередном заседании Высшего Евразийского экономического совета на уровне глав государств.</w:t>
      </w:r>
      <w:r>
        <w:br/>
      </w:r>
      <w:r>
        <w:rPr>
          <w:rFonts w:ascii="Times New Roman"/>
          <w:b w:val="false"/>
          <w:i w:val="false"/>
          <w:color w:val="000000"/>
          <w:sz w:val="28"/>
        </w:rPr>
        <w:t>
</w:t>
      </w:r>
      <w:r>
        <w:rPr>
          <w:rFonts w:ascii="Times New Roman"/>
          <w:b w:val="false"/>
          <w:i w:val="false"/>
          <w:color w:val="000000"/>
          <w:sz w:val="28"/>
        </w:rPr>
        <w:t>
      2. Просить Правительство Республики Беларусь, Правительство Республики Казахстан и Правительство Российской Федерации до 1 июля 2014 г. определить уполномоченные государственные органы, ответственные за реализацию Основных направлений развития механизма «единого окна» в системе регулирования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3. Коллегии Евразийской экономической комиссии сформировать под руководством члена Коллегии (Министра) по таможенному сотрудничеству Евразийской экономической комиссии Гошина В.А. рабочую группу по подготовке плана мероприятий по реализации Основных направлений развития механизма «единого окна» в системе регулирования внешнеэкономической деятельности из представителей органов исполнительной власти государств–членов Таможенного союза и Единого экономического пространства, Консультативного совета по взаимодействию Евразийской экономической комиссии и белорусско-казахстанско-российского бизнес-сообщества, а также сотрудников Евразийской экономической комиссии и утвердить ее состав.</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 истечении</w:t>
      </w:r>
      <w:r>
        <w:br/>
      </w:r>
      <w:r>
        <w:rPr>
          <w:rFonts w:ascii="Times New Roman"/>
          <w:b w:val="false"/>
          <w:i w:val="false"/>
          <w:color w:val="000000"/>
          <w:sz w:val="28"/>
        </w:rPr>
        <w:t>
30 календарных дней с даты его официального опубликования.</w:t>
      </w:r>
    </w:p>
    <w:bookmarkEnd w:id="0"/>
    <w:p>
      <w:pPr>
        <w:spacing w:after="0"/>
        <w:ind w:left="0"/>
        <w:jc w:val="both"/>
      </w:pPr>
      <w:r>
        <w:rPr>
          <w:rFonts w:ascii="Times New Roman"/>
          <w:b w:val="false"/>
          <w:i w:val="false"/>
          <w:color w:val="000000"/>
          <w:sz w:val="28"/>
        </w:rPr>
        <w:t>      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4253"/>
        <w:gridCol w:w="423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64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6" w:id="1"/>
    <w:p>
      <w:pPr>
        <w:spacing w:after="0"/>
        <w:ind w:left="0"/>
        <w:jc w:val="both"/>
      </w:pPr>
      <w:r>
        <w:rPr>
          <w:rFonts w:ascii="Times New Roman"/>
          <w:b w:val="false"/>
          <w:i w:val="false"/>
          <w:color w:val="000000"/>
          <w:sz w:val="28"/>
        </w:rPr>
        <w:t xml:space="preserve">
ОДОБРЕНЫ             </w:t>
      </w:r>
      <w:r>
        <w:br/>
      </w:r>
      <w:r>
        <w:rPr>
          <w:rFonts w:ascii="Times New Roman"/>
          <w:b w:val="false"/>
          <w:i w:val="false"/>
          <w:color w:val="000000"/>
          <w:sz w:val="28"/>
        </w:rPr>
        <w:t xml:space="preserve">
Решением Высшего        </w:t>
      </w:r>
      <w:r>
        <w:br/>
      </w:r>
      <w:r>
        <w:rPr>
          <w:rFonts w:ascii="Times New Roman"/>
          <w:b w:val="false"/>
          <w:i w:val="false"/>
          <w:color w:val="000000"/>
          <w:sz w:val="28"/>
        </w:rPr>
        <w:t>
Евразийского экономического совета</w:t>
      </w:r>
      <w:r>
        <w:br/>
      </w:r>
      <w:r>
        <w:rPr>
          <w:rFonts w:ascii="Times New Roman"/>
          <w:b w:val="false"/>
          <w:i w:val="false"/>
          <w:color w:val="000000"/>
          <w:sz w:val="28"/>
        </w:rPr>
        <w:t xml:space="preserve">
от 28 апреля 2014 г. № 23   </w:t>
      </w:r>
    </w:p>
    <w:bookmarkEnd w:id="1"/>
    <w:bookmarkStart w:name="z7" w:id="2"/>
    <w:p>
      <w:pPr>
        <w:spacing w:after="0"/>
        <w:ind w:left="0"/>
        <w:jc w:val="left"/>
      </w:pPr>
      <w:r>
        <w:rPr>
          <w:rFonts w:ascii="Times New Roman"/>
          <w:b/>
          <w:i w:val="false"/>
          <w:color w:val="000000"/>
        </w:rPr>
        <w:t xml:space="preserve"> 
ОСНОВНЫЕ НАПРАВЛЕНИЯ</w:t>
      </w:r>
      <w:r>
        <w:br/>
      </w:r>
      <w:r>
        <w:rPr>
          <w:rFonts w:ascii="Times New Roman"/>
          <w:b/>
          <w:i w:val="false"/>
          <w:color w:val="000000"/>
        </w:rPr>
        <w:t>
развития механизма «единого окна» в системе регулирования</w:t>
      </w:r>
      <w:r>
        <w:br/>
      </w:r>
      <w:r>
        <w:rPr>
          <w:rFonts w:ascii="Times New Roman"/>
          <w:b/>
          <w:i w:val="false"/>
          <w:color w:val="000000"/>
        </w:rPr>
        <w:t>
внешнеэкономической деятельности</w:t>
      </w:r>
    </w:p>
    <w:bookmarkEnd w:id="2"/>
    <w:p>
      <w:pPr>
        <w:spacing w:after="0"/>
        <w:ind w:left="0"/>
        <w:jc w:val="both"/>
      </w:pPr>
      <w:r>
        <w:rPr>
          <w:rFonts w:ascii="Times New Roman"/>
          <w:b w:val="false"/>
          <w:i w:val="false"/>
          <w:color w:val="000000"/>
          <w:sz w:val="28"/>
        </w:rPr>
        <w:t>      Одной из основных задач функционирования Таможенного союза и Единого экономического пространства и перехода к следующему этапу интеграции – Евразийскому экономическому союзу является усиление национальной конкурентоспособности государств–членов Таможенного союза и Единого экономического пространства (далее — государства-члены) в рамках глобальной экономики.</w:t>
      </w:r>
      <w:r>
        <w:br/>
      </w:r>
      <w:r>
        <w:rPr>
          <w:rFonts w:ascii="Times New Roman"/>
          <w:b w:val="false"/>
          <w:i w:val="false"/>
          <w:color w:val="000000"/>
          <w:sz w:val="28"/>
        </w:rPr>
        <w:t>
      Усиление национальной конкурентоспособности зависит от уровня развития международной торговли и инвестиционной привлекательности государств-членов.</w:t>
      </w:r>
      <w:r>
        <w:br/>
      </w:r>
      <w:r>
        <w:rPr>
          <w:rFonts w:ascii="Times New Roman"/>
          <w:b w:val="false"/>
          <w:i w:val="false"/>
          <w:color w:val="000000"/>
          <w:sz w:val="28"/>
        </w:rPr>
        <w:t>
      С целью построения эффективной системы регулирования, координации и контроля внешнеэкономической деятельности, в том числе посредством применения механизма «единого окна», разработаны настоящие Основные направления.</w:t>
      </w:r>
      <w:r>
        <w:br/>
      </w:r>
      <w:r>
        <w:rPr>
          <w:rFonts w:ascii="Times New Roman"/>
          <w:b w:val="false"/>
          <w:i w:val="false"/>
          <w:color w:val="000000"/>
          <w:sz w:val="28"/>
        </w:rPr>
        <w:t>
      Под «единым окном» в настоящих Основных направлениях понимается механизм взаимодействия между государственными органами, регулирующими внешнеэкономическую деятельность, и участниками внешнеэкономической деятельности, который позволяет участникам внешнеэкономической деятельности однократно представлять документы в стандартизованном виде через единый пропускной канал для последующего использования заинтересованными государственными органами и иными организациями в соответствии с их компетенцией при проведении контроля за осуществлением внешнеэкономической деятельности (далее – механизм «единое окно»).</w:t>
      </w:r>
      <w:r>
        <w:br/>
      </w:r>
      <w:r>
        <w:rPr>
          <w:rFonts w:ascii="Times New Roman"/>
          <w:b w:val="false"/>
          <w:i w:val="false"/>
          <w:color w:val="000000"/>
          <w:sz w:val="28"/>
        </w:rPr>
        <w:t>
      Применение механизма «единого окна» позволит:</w:t>
      </w:r>
      <w:r>
        <w:br/>
      </w:r>
      <w:r>
        <w:rPr>
          <w:rFonts w:ascii="Times New Roman"/>
          <w:b w:val="false"/>
          <w:i w:val="false"/>
          <w:color w:val="000000"/>
          <w:sz w:val="28"/>
        </w:rPr>
        <w:t>
      для государственных органов государств-членов, регулирующих внешнеэкономическую деятельность:</w:t>
      </w:r>
      <w:r>
        <w:br/>
      </w:r>
      <w:r>
        <w:rPr>
          <w:rFonts w:ascii="Times New Roman"/>
          <w:b w:val="false"/>
          <w:i w:val="false"/>
          <w:color w:val="000000"/>
          <w:sz w:val="28"/>
        </w:rPr>
        <w:t>
      повысить качество и сократить сроки предоставления государственных услуг и осуществления государственных функций;</w:t>
      </w:r>
      <w:r>
        <w:br/>
      </w:r>
      <w:r>
        <w:rPr>
          <w:rFonts w:ascii="Times New Roman"/>
          <w:b w:val="false"/>
          <w:i w:val="false"/>
          <w:color w:val="000000"/>
          <w:sz w:val="28"/>
        </w:rPr>
        <w:t>
      повысить уровень управления рисками и минимизировать случаи несоблюдения участниками внешнеэкономической деятельности требований, установленных законодательством государств-членов;</w:t>
      </w:r>
      <w:r>
        <w:br/>
      </w:r>
      <w:r>
        <w:rPr>
          <w:rFonts w:ascii="Times New Roman"/>
          <w:b w:val="false"/>
          <w:i w:val="false"/>
          <w:color w:val="000000"/>
          <w:sz w:val="28"/>
        </w:rPr>
        <w:t>
      сократить расходы бюджетов государств-членов на предоставление государственных услуг и осуществление государственных функций;</w:t>
      </w:r>
      <w:r>
        <w:br/>
      </w:r>
      <w:r>
        <w:rPr>
          <w:rFonts w:ascii="Times New Roman"/>
          <w:b w:val="false"/>
          <w:i w:val="false"/>
          <w:color w:val="000000"/>
          <w:sz w:val="28"/>
        </w:rPr>
        <w:t>
      упростить административные процедуры и повысить их эффективность;</w:t>
      </w:r>
      <w:r>
        <w:br/>
      </w:r>
      <w:r>
        <w:rPr>
          <w:rFonts w:ascii="Times New Roman"/>
          <w:b w:val="false"/>
          <w:i w:val="false"/>
          <w:color w:val="000000"/>
          <w:sz w:val="28"/>
        </w:rPr>
        <w:t>
      для участников внешнеэкономической деятельности:</w:t>
      </w:r>
      <w:r>
        <w:br/>
      </w:r>
      <w:r>
        <w:rPr>
          <w:rFonts w:ascii="Times New Roman"/>
          <w:b w:val="false"/>
          <w:i w:val="false"/>
          <w:color w:val="000000"/>
          <w:sz w:val="28"/>
        </w:rPr>
        <w:t>
      сократить стоимостные и временные издержки, связанные с обработкой информации и документов, необходимых для осуществления внешнеэкономической деятельности;</w:t>
      </w:r>
      <w:r>
        <w:br/>
      </w:r>
      <w:r>
        <w:rPr>
          <w:rFonts w:ascii="Times New Roman"/>
          <w:b w:val="false"/>
          <w:i w:val="false"/>
          <w:color w:val="000000"/>
          <w:sz w:val="28"/>
        </w:rPr>
        <w:t>
      упростить технологию информационного взаимодействия с государственными органами, регулирующими внешнеэкономическую деятельность;</w:t>
      </w:r>
      <w:r>
        <w:br/>
      </w:r>
      <w:r>
        <w:rPr>
          <w:rFonts w:ascii="Times New Roman"/>
          <w:b w:val="false"/>
          <w:i w:val="false"/>
          <w:color w:val="000000"/>
          <w:sz w:val="28"/>
        </w:rPr>
        <w:t>
      оптимизировать ресурсы, в том числе трудовые, при осуществлении внешнеэкономической деятельности;</w:t>
      </w:r>
      <w:r>
        <w:br/>
      </w:r>
      <w:r>
        <w:rPr>
          <w:rFonts w:ascii="Times New Roman"/>
          <w:b w:val="false"/>
          <w:i w:val="false"/>
          <w:color w:val="000000"/>
          <w:sz w:val="28"/>
        </w:rPr>
        <w:t>
      повысить транспарентность и предсказуемость бизнес-процессов, связанных с внешнеэкономической деятельностью.</w:t>
      </w:r>
    </w:p>
    <w:bookmarkStart w:name="z8" w:id="3"/>
    <w:p>
      <w:pPr>
        <w:spacing w:after="0"/>
        <w:ind w:left="0"/>
        <w:jc w:val="left"/>
      </w:pPr>
      <w:r>
        <w:rPr>
          <w:rFonts w:ascii="Times New Roman"/>
          <w:b/>
          <w:i w:val="false"/>
          <w:color w:val="000000"/>
        </w:rPr>
        <w:t xml:space="preserve"> 
I. Основные направления развития механизма «единого окна»</w:t>
      </w:r>
      <w:r>
        <w:br/>
      </w:r>
      <w:r>
        <w:rPr>
          <w:rFonts w:ascii="Times New Roman"/>
          <w:b/>
          <w:i w:val="false"/>
          <w:color w:val="000000"/>
        </w:rPr>
        <w:t>
в системе регулирования внешнеэкономической деятельности</w:t>
      </w:r>
    </w:p>
    <w:bookmarkEnd w:id="3"/>
    <w:bookmarkStart w:name="z9" w:id="4"/>
    <w:p>
      <w:pPr>
        <w:spacing w:after="0"/>
        <w:ind w:left="0"/>
        <w:jc w:val="left"/>
      </w:pPr>
      <w:r>
        <w:rPr>
          <w:rFonts w:ascii="Times New Roman"/>
          <w:b/>
          <w:i w:val="false"/>
          <w:color w:val="000000"/>
        </w:rPr>
        <w:t xml:space="preserve"> 
1. Сближение подходов по развитию национальных механизмов</w:t>
      </w:r>
      <w:r>
        <w:br/>
      </w:r>
      <w:r>
        <w:rPr>
          <w:rFonts w:ascii="Times New Roman"/>
          <w:b/>
          <w:i w:val="false"/>
          <w:color w:val="000000"/>
        </w:rPr>
        <w:t>
«единого окна»</w:t>
      </w:r>
    </w:p>
    <w:bookmarkEnd w:id="4"/>
    <w:p>
      <w:pPr>
        <w:spacing w:after="0"/>
        <w:ind w:left="0"/>
        <w:jc w:val="both"/>
      </w:pPr>
      <w:r>
        <w:rPr>
          <w:rFonts w:ascii="Times New Roman"/>
          <w:b w:val="false"/>
          <w:i w:val="false"/>
          <w:color w:val="000000"/>
          <w:sz w:val="28"/>
        </w:rPr>
        <w:t>      С целью унификации в государствах-членах государственных процедур, связанных с внешнеэкономической деятельностью, а также стандартизации документов, необходимых для ее осуществления, требуется сблизить подходы по развитию национальных механизмов «единого окна», для чего необходимо:</w:t>
      </w:r>
      <w:r>
        <w:br/>
      </w:r>
      <w:r>
        <w:rPr>
          <w:rFonts w:ascii="Times New Roman"/>
          <w:b w:val="false"/>
          <w:i w:val="false"/>
          <w:color w:val="000000"/>
          <w:sz w:val="28"/>
        </w:rPr>
        <w:t>
      применять терминологию и руководящие принципы по внедрению и развитию механизма «единого окна», определенные в Рекомендациях Европейской экономической комиссии ООН;</w:t>
      </w:r>
      <w:r>
        <w:br/>
      </w:r>
      <w:r>
        <w:rPr>
          <w:rFonts w:ascii="Times New Roman"/>
          <w:b w:val="false"/>
          <w:i w:val="false"/>
          <w:color w:val="000000"/>
          <w:sz w:val="28"/>
        </w:rPr>
        <w:t>
      провести в каждом государстве-члене анализ государственных процедур и технологий, связанных с внешнеэкономической деятельностью, а также актов законодательства, определяющих порядок их осуществления;</w:t>
      </w:r>
      <w:r>
        <w:br/>
      </w:r>
      <w:r>
        <w:rPr>
          <w:rFonts w:ascii="Times New Roman"/>
          <w:b w:val="false"/>
          <w:i w:val="false"/>
          <w:color w:val="000000"/>
          <w:sz w:val="28"/>
        </w:rPr>
        <w:t>
      определить направления сближения подходов по развитию национальных механизмов «единого окна» с учетом результатов проведенного анализа государственных процедур и технологий, связанных с внешнеэкономической деятельностью, а также актов законодательства, определяющих порядок осуществления таких процедур.</w:t>
      </w:r>
    </w:p>
    <w:bookmarkStart w:name="z10" w:id="5"/>
    <w:p>
      <w:pPr>
        <w:spacing w:after="0"/>
        <w:ind w:left="0"/>
        <w:jc w:val="left"/>
      </w:pPr>
      <w:r>
        <w:rPr>
          <w:rFonts w:ascii="Times New Roman"/>
          <w:b/>
          <w:i w:val="false"/>
          <w:color w:val="000000"/>
        </w:rPr>
        <w:t xml:space="preserve"> 
2. Развитие национальных механизмов «единого окна»</w:t>
      </w:r>
    </w:p>
    <w:bookmarkEnd w:id="5"/>
    <w:p>
      <w:pPr>
        <w:spacing w:after="0"/>
        <w:ind w:left="0"/>
        <w:jc w:val="both"/>
      </w:pPr>
      <w:r>
        <w:rPr>
          <w:rFonts w:ascii="Times New Roman"/>
          <w:b w:val="false"/>
          <w:i w:val="false"/>
          <w:color w:val="000000"/>
          <w:sz w:val="28"/>
        </w:rPr>
        <w:t>      В государствах-членах проводится работа по внедрению и развитию национальных механизмов «единого окна» с учетом опыта Всемирной таможенной организации и Рекомендаций Европейской экономической комиссии ООН.</w:t>
      </w:r>
      <w:r>
        <w:br/>
      </w:r>
      <w:r>
        <w:rPr>
          <w:rFonts w:ascii="Times New Roman"/>
          <w:b w:val="false"/>
          <w:i w:val="false"/>
          <w:color w:val="000000"/>
          <w:sz w:val="28"/>
        </w:rPr>
        <w:t>
      В целях развития национальных механизмов «единого окна» необходимо обеспечить консолидацию усилий и согласованность действий государственных органов, регулирующих внешнеэкономическую деятельность, бизнес-сообществ и участников внешнеэкономической деятельности.</w:t>
      </w:r>
      <w:r>
        <w:br/>
      </w:r>
      <w:r>
        <w:rPr>
          <w:rFonts w:ascii="Times New Roman"/>
          <w:b w:val="false"/>
          <w:i w:val="false"/>
          <w:color w:val="000000"/>
          <w:sz w:val="28"/>
        </w:rPr>
        <w:t>
      Для этого в каждом государстве-члене требуется:</w:t>
      </w:r>
      <w:r>
        <w:br/>
      </w:r>
      <w:r>
        <w:rPr>
          <w:rFonts w:ascii="Times New Roman"/>
          <w:b w:val="false"/>
          <w:i w:val="false"/>
          <w:color w:val="000000"/>
          <w:sz w:val="28"/>
        </w:rPr>
        <w:t>
      определить уполномоченный государственный орган, ответственный за реализацию национального механизма «единого окна», наделив его соответствующими полномочиями;</w:t>
      </w:r>
      <w:r>
        <w:br/>
      </w:r>
      <w:r>
        <w:rPr>
          <w:rFonts w:ascii="Times New Roman"/>
          <w:b w:val="false"/>
          <w:i w:val="false"/>
          <w:color w:val="000000"/>
          <w:sz w:val="28"/>
        </w:rPr>
        <w:t>
      обеспечить принятие концепции развития механизма «единого окна»;</w:t>
      </w:r>
      <w:r>
        <w:br/>
      </w:r>
      <w:r>
        <w:rPr>
          <w:rFonts w:ascii="Times New Roman"/>
          <w:b w:val="false"/>
          <w:i w:val="false"/>
          <w:color w:val="000000"/>
          <w:sz w:val="28"/>
        </w:rPr>
        <w:t>
      оптимизировать процедуры взаимодействия государственных органов, регулирующих внешнеэкономическую деятельность, как между собой, так и с участниками внешнеэкономической деятельности;</w:t>
      </w:r>
      <w:r>
        <w:br/>
      </w:r>
      <w:r>
        <w:rPr>
          <w:rFonts w:ascii="Times New Roman"/>
          <w:b w:val="false"/>
          <w:i w:val="false"/>
          <w:color w:val="000000"/>
          <w:sz w:val="28"/>
        </w:rPr>
        <w:t>
      обеспечить учет предложений бизнес-сообществ и участников внешнеэкономической деятельности, согласованных с уполномоченным государственным органом, ответственным за реализацию национального механизма «единого окна».</w:t>
      </w:r>
    </w:p>
    <w:bookmarkStart w:name="z11" w:id="6"/>
    <w:p>
      <w:pPr>
        <w:spacing w:after="0"/>
        <w:ind w:left="0"/>
        <w:jc w:val="left"/>
      </w:pPr>
      <w:r>
        <w:rPr>
          <w:rFonts w:ascii="Times New Roman"/>
          <w:b/>
          <w:i w:val="false"/>
          <w:color w:val="000000"/>
        </w:rPr>
        <w:t xml:space="preserve"> 
3. Взаимное признание электронных документов, необходимых для</w:t>
      </w:r>
      <w:r>
        <w:br/>
      </w:r>
      <w:r>
        <w:rPr>
          <w:rFonts w:ascii="Times New Roman"/>
          <w:b/>
          <w:i w:val="false"/>
          <w:color w:val="000000"/>
        </w:rPr>
        <w:t>
осуществления внешнеэкономической деятельности</w:t>
      </w:r>
    </w:p>
    <w:bookmarkEnd w:id="6"/>
    <w:p>
      <w:pPr>
        <w:spacing w:after="0"/>
        <w:ind w:left="0"/>
        <w:jc w:val="both"/>
      </w:pPr>
      <w:r>
        <w:rPr>
          <w:rFonts w:ascii="Times New Roman"/>
          <w:b w:val="false"/>
          <w:i w:val="false"/>
          <w:color w:val="000000"/>
          <w:sz w:val="28"/>
        </w:rPr>
        <w:t>      В рамках Единого экономического пространства с целью обеспечения признания и использования в одном государстве-члене электронных документов, необходимых для осуществления внешнеэкономической деятельности, выданных уполномоченными органами другого государства-члена, необходимо:</w:t>
      </w:r>
      <w:r>
        <w:br/>
      </w:r>
      <w:r>
        <w:rPr>
          <w:rFonts w:ascii="Times New Roman"/>
          <w:b w:val="false"/>
          <w:i w:val="false"/>
          <w:color w:val="000000"/>
          <w:sz w:val="28"/>
        </w:rPr>
        <w:t>
      унифицировать состав сведений, включаемых в электронные документы, необходимые для осуществления внешнеэкономической деятельности;</w:t>
      </w:r>
      <w:r>
        <w:br/>
      </w:r>
      <w:r>
        <w:rPr>
          <w:rFonts w:ascii="Times New Roman"/>
          <w:b w:val="false"/>
          <w:i w:val="false"/>
          <w:color w:val="000000"/>
          <w:sz w:val="28"/>
        </w:rPr>
        <w:t>
      обеспечить формирование правовых и организационно-технических основ для взаимного признания и использования уполномоченными органами государств-членов электронных документов, необходимых для осуществления внешнеэкономической деятельности.</w:t>
      </w:r>
    </w:p>
    <w:bookmarkStart w:name="z12" w:id="7"/>
    <w:p>
      <w:pPr>
        <w:spacing w:after="0"/>
        <w:ind w:left="0"/>
        <w:jc w:val="left"/>
      </w:pPr>
      <w:r>
        <w:rPr>
          <w:rFonts w:ascii="Times New Roman"/>
          <w:b/>
          <w:i w:val="false"/>
          <w:color w:val="000000"/>
        </w:rPr>
        <w:t xml:space="preserve"> 
4. Организация информационного взаимодействия</w:t>
      </w:r>
    </w:p>
    <w:bookmarkEnd w:id="7"/>
    <w:p>
      <w:pPr>
        <w:spacing w:after="0"/>
        <w:ind w:left="0"/>
        <w:jc w:val="both"/>
      </w:pPr>
      <w:r>
        <w:rPr>
          <w:rFonts w:ascii="Times New Roman"/>
          <w:b w:val="false"/>
          <w:i w:val="false"/>
          <w:color w:val="000000"/>
          <w:sz w:val="28"/>
        </w:rPr>
        <w:t>      Для повышения эффективности государственного контроля, а также упрощения получения необходимых документов и сведений участниками внешнеэкономической деятельности необходимо организовать в рамках Единого экономического пространства надлежащее информационное взаимодействие, для чего требуется обеспечить соответствующую информационно-техническую основу.</w:t>
      </w:r>
      <w:r>
        <w:br/>
      </w:r>
      <w:r>
        <w:rPr>
          <w:rFonts w:ascii="Times New Roman"/>
          <w:b w:val="false"/>
          <w:i w:val="false"/>
          <w:color w:val="000000"/>
          <w:sz w:val="28"/>
        </w:rPr>
        <w:t>
      С учетом того, что в рамках Единого экономического пространства принят ряд основополагающих нормативных документов по созданию, обеспечению функционирования и развитию интегрированной информационной системы внешней и взаимной торговли Таможенного союза, целесообразно обеспечить указанное информационное взаимодействие с использованием технической инфраструктуры данной информационной системы в соответствии с утверждаемыми Евразийской экономической комиссией регламентами взаимодействия.</w:t>
      </w:r>
    </w:p>
    <w:bookmarkStart w:name="z13" w:id="8"/>
    <w:p>
      <w:pPr>
        <w:spacing w:after="0"/>
        <w:ind w:left="0"/>
        <w:jc w:val="left"/>
      </w:pPr>
      <w:r>
        <w:rPr>
          <w:rFonts w:ascii="Times New Roman"/>
          <w:b/>
          <w:i w:val="false"/>
          <w:color w:val="000000"/>
        </w:rPr>
        <w:t xml:space="preserve"> 
II. Координация действий по реализации Основных направлений</w:t>
      </w:r>
      <w:r>
        <w:br/>
      </w:r>
      <w:r>
        <w:rPr>
          <w:rFonts w:ascii="Times New Roman"/>
          <w:b/>
          <w:i w:val="false"/>
          <w:color w:val="000000"/>
        </w:rPr>
        <w:t>
развития механизма «единого окна» в системе регулирования</w:t>
      </w:r>
      <w:r>
        <w:br/>
      </w:r>
      <w:r>
        <w:rPr>
          <w:rFonts w:ascii="Times New Roman"/>
          <w:b/>
          <w:i w:val="false"/>
          <w:color w:val="000000"/>
        </w:rPr>
        <w:t>
внешнеэкономической деятельности</w:t>
      </w:r>
    </w:p>
    <w:bookmarkEnd w:id="8"/>
    <w:p>
      <w:pPr>
        <w:spacing w:after="0"/>
        <w:ind w:left="0"/>
        <w:jc w:val="both"/>
      </w:pPr>
      <w:r>
        <w:rPr>
          <w:rFonts w:ascii="Times New Roman"/>
          <w:b w:val="false"/>
          <w:i w:val="false"/>
          <w:color w:val="000000"/>
          <w:sz w:val="28"/>
        </w:rPr>
        <w:t>      Для реализации настоящих Основных направлений необходимо обеспечить координацию действий государственных органов государств-членов, регулирующих внешнеэкономическую деятельность.</w:t>
      </w:r>
      <w:r>
        <w:br/>
      </w:r>
      <w:r>
        <w:rPr>
          <w:rFonts w:ascii="Times New Roman"/>
          <w:b w:val="false"/>
          <w:i w:val="false"/>
          <w:color w:val="000000"/>
          <w:sz w:val="28"/>
        </w:rPr>
        <w:t>
      На межгосударственном уровне координирующим органом по реализации настоящих Основных направлений выступит Евразийская экономическая комиссия, в полномочия которой будет входить разработка совместно с правительствами государств-членов плана мероприятий по их реализации, а также осуществление мониторинга и координации работ, проводимых государствами-членами.</w:t>
      </w:r>
      <w:r>
        <w:br/>
      </w:r>
      <w:r>
        <w:rPr>
          <w:rFonts w:ascii="Times New Roman"/>
          <w:b w:val="false"/>
          <w:i w:val="false"/>
          <w:color w:val="000000"/>
          <w:sz w:val="28"/>
        </w:rPr>
        <w:t>
      Реализация настоящих Основных направлений позволит создать эффективную систему регулирования внешнеэкономической деятельности, улучшить условия ведения предпринимательской деятельности в государствах-членах и, как следствие, занять более высокие позиции в международных рейтингах.</w:t>
      </w:r>
    </w:p>
    <w:p>
      <w:pPr>
        <w:spacing w:after="0"/>
        <w:ind w:left="0"/>
        <w:jc w:val="both"/>
      </w:pPr>
      <w:r>
        <w:drawing>
          <wp:inline distT="0" distB="0" distL="0" distR="0">
            <wp:extent cx="50546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54600" cy="1041400"/>
                    </a:xfrm>
                    <a:prstGeom prst="rect">
                      <a:avLst/>
                    </a:prstGeom>
                  </pic:spPr>
                </pic:pic>
              </a:graphicData>
            </a:graphic>
          </wp:inline>
        </w:drawing>
      </w:r>
    </w:p>
    <w:p>
      <w:pPr>
        <w:spacing w:after="0"/>
        <w:ind w:left="0"/>
        <w:jc w:val="both"/>
      </w:pPr>
      <w:r>
        <w:rPr>
          <w:rFonts w:ascii="Times New Roman"/>
          <w:b/>
          <w:i w:val="false"/>
          <w:color w:val="000000"/>
          <w:sz w:val="28"/>
        </w:rPr>
        <w:t>ВЫСШИЙ ЕВРАЗИЙСКИЙ ЭКОНОМИЧЕСКИЙ СОВЕТ</w:t>
      </w:r>
    </w:p>
    <w:p>
      <w:pPr>
        <w:spacing w:after="0"/>
        <w:ind w:left="0"/>
        <w:jc w:val="left"/>
      </w:pPr>
      <w:r>
        <w:rPr>
          <w:rFonts w:ascii="Times New Roman"/>
          <w:b/>
          <w:i w:val="false"/>
          <w:color w:val="000000"/>
        </w:rPr>
        <w:t xml:space="preserve">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0"/>
        <w:gridCol w:w="3111"/>
        <w:gridCol w:w="5639"/>
      </w:tblGrid>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г.</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bookmarkStart w:name="z14" w:id="9"/>
    <w:p>
      <w:pPr>
        <w:spacing w:after="0"/>
        <w:ind w:left="0"/>
        <w:jc w:val="left"/>
      </w:pPr>
      <w:r>
        <w:rPr>
          <w:rFonts w:ascii="Times New Roman"/>
          <w:b/>
          <w:i w:val="false"/>
          <w:color w:val="000000"/>
        </w:rPr>
        <w:t xml:space="preserve"> 
Об Основных направлениях развития механизма «единого окна» в</w:t>
      </w:r>
      <w:r>
        <w:br/>
      </w:r>
      <w:r>
        <w:rPr>
          <w:rFonts w:ascii="Times New Roman"/>
          <w:b/>
          <w:i w:val="false"/>
          <w:color w:val="000000"/>
        </w:rPr>
        <w:t>
системе регулирования внешнеэкономической деятельности</w:t>
      </w:r>
    </w:p>
    <w:bookmarkEnd w:id="9"/>
    <w:p>
      <w:pPr>
        <w:spacing w:after="0"/>
        <w:ind w:left="0"/>
        <w:jc w:val="both"/>
      </w:pPr>
      <w:r>
        <w:rPr>
          <w:rFonts w:ascii="Times New Roman"/>
          <w:b w:val="false"/>
          <w:i w:val="false"/>
          <w:color w:val="000000"/>
          <w:sz w:val="28"/>
        </w:rPr>
        <w:t>      Приняв к сведению информацию Евразийской экономической комиссии о ходе работы по реализации </w:t>
      </w:r>
      <w:r>
        <w:rPr>
          <w:rFonts w:ascii="Times New Roman"/>
          <w:b w:val="false"/>
          <w:i w:val="false"/>
          <w:color w:val="000000"/>
          <w:sz w:val="28"/>
        </w:rPr>
        <w:t>Решения</w:t>
      </w:r>
      <w:r>
        <w:rPr>
          <w:rFonts w:ascii="Times New Roman"/>
          <w:b w:val="false"/>
          <w:i w:val="false"/>
          <w:color w:val="000000"/>
          <w:sz w:val="28"/>
        </w:rPr>
        <w:t xml:space="preserve"> Высшего Евразийского экономического совета от 19 декабря 2012 г. № 21 «О реализации основных направлений интеграции», Высший Евразийский экономический совет на уровне глав государств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1. Одобрить прилагаемые Основные направления развития механизма «единого окна» в системе регулирования внешнеэкономической деятельности (далее – Основные направления).</w:t>
      </w:r>
      <w:r>
        <w:br/>
      </w:r>
      <w:r>
        <w:rPr>
          <w:rFonts w:ascii="Times New Roman"/>
          <w:b w:val="false"/>
          <w:i w:val="false"/>
          <w:color w:val="000000"/>
          <w:sz w:val="28"/>
        </w:rPr>
        <w:t>
      2. Правительству Республики Беларусь, Правительству Республики Казахстан и Правительству Российской Федерации обеспечить дальнейшую работу по совершенствованию внешнеэкономической деятельности в соответствии с Основными направлениями.</w:t>
      </w:r>
      <w:r>
        <w:br/>
      </w:r>
      <w:r>
        <w:rPr>
          <w:rFonts w:ascii="Times New Roman"/>
          <w:b w:val="false"/>
          <w:i w:val="false"/>
          <w:color w:val="000000"/>
          <w:sz w:val="28"/>
        </w:rPr>
        <w:t>
      3. Евразийской экономической комиссии:</w:t>
      </w:r>
      <w:r>
        <w:br/>
      </w:r>
      <w:r>
        <w:rPr>
          <w:rFonts w:ascii="Times New Roman"/>
          <w:b w:val="false"/>
          <w:i w:val="false"/>
          <w:color w:val="000000"/>
          <w:sz w:val="28"/>
        </w:rPr>
        <w:t>
      совместно с Правительством Республики Беларусь, Правительством Республики Казахстан и Правительством Российской Федерации разработать до 25 декабря 2014 г. проект плана мероприятий по реализации Основных направлений;</w:t>
      </w:r>
      <w:r>
        <w:br/>
      </w:r>
      <w:r>
        <w:rPr>
          <w:rFonts w:ascii="Times New Roman"/>
          <w:b w:val="false"/>
          <w:i w:val="false"/>
          <w:color w:val="000000"/>
          <w:sz w:val="28"/>
        </w:rPr>
        <w:t>
      осуществлять мониторинг и координацию проводимых государствами–членами Таможенного союза и Единого экономического пространства работ в рамках реализации Основных направлений.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0"/>
        <w:gridCol w:w="4720"/>
        <w:gridCol w:w="4560"/>
      </w:tblGrid>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Члены Высшего Евразийского экономического совета:
</w:t>
            </w:r>
          </w:p>
        </w:tc>
      </w:tr>
      <w:tr>
        <w:trPr>
          <w:trHeight w:val="27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