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c0ac" w14:textId="da9c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начале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марта 2014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начале переговоров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87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50546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ВЫСШИЙ ЕВРАЗИЙСКИЙ ЭКОНОМИЧЕСКИЙ СОВЕТ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          20   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начале переговоров c Китайской Народной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заключении соглашения об обмене информацией</w:t>
      </w:r>
      <w:r>
        <w:br/>
      </w:r>
      <w:r>
        <w:rPr>
          <w:rFonts w:ascii="Times New Roman"/>
          <w:b/>
          <w:i w:val="false"/>
          <w:color w:val="000000"/>
        </w:rPr>
        <w:t>
о товарах и транспортных средствах международной перевозки,</w:t>
      </w:r>
      <w:r>
        <w:br/>
      </w:r>
      <w:r>
        <w:rPr>
          <w:rFonts w:ascii="Times New Roman"/>
          <w:b/>
          <w:i w:val="false"/>
          <w:color w:val="000000"/>
        </w:rPr>
        <w:t>
перемещаемых через таможенные границы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с участием Сторон начать переговоры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Таможенного союза и Китайской Народной Республики.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0"/>
        <w:gridCol w:w="2585"/>
        <w:gridCol w:w="2585"/>
      </w:tblGrid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