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2d56" w14:textId="b612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временно ввозимых отдельных видов гражданских грузовых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марта 2014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дополнить пунктом 34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Гражданские грузовые самолеты, не оснащенные грузовой рампой, с максимальной взлетной массой не менее 60 000 кг,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80 000 кг (код 8802 40 003 9 ТН ВЭД ТС), или более 370 000 кг (код 8802 40 009 6 ТН ВЭД ТС), помещаемые под таможенную процедуру временного ввоза (допуска) по 31 декабря 2017 г. включительно, на срок их временного ввоза.".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утвержденный Решением Комиссии Таможенного союза от 20 сентября 2010 г. № 375 "О некоторых вопросах применения таможенных процедур", дополнить позицией 13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ввозимые гражданские грузовые самолеты, не оснащенные грузовой рампой, с максимальной взлетной массой не менее 60 000 кг, но не более 80 000 кг (код 8802 40 003 9 ТН ВЭД ТС), или более 370 000 кг (код 8802 40 009 6 ТН ВЭД ТС), в отношении которых предоставлено полное условное освобождение от уплаты ввозных таможенных пошлин,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лет".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