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25fc" w14:textId="3042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валков для прокатных станов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марта 2014 года № 16.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и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изменений в указанный Перечень решения об изменении ставок ввозных таможенных пошлин в отношении товаров, предусмотренных 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Решению, принимаются Советом Евразийской экономической комиссии.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г.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рабочие валки для горячей прокатки; опорные валки для горячей и холодной прокатки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рабочие валки для холодной прокатки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г.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рабочие валки для горячей прокатки; опорные валки для горячей и холодной прокатки: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нетто-массой более 180 000 кг или содержащие не менее 4,7 мас.% хрома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рабочие валки для холодной прокатки: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содержащие не менее 4,7 мас.% хрома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г.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нетто-массой более 180 000 кг или содержащие не менее 4,7 мас.% хрома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содержащие не менее 4,7 мас.% хрома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8455 30 390 9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