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353" w14:textId="3d5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временно ввозимых с полным условным освобождением от уплаты таможенных пошлин, налогов, в отношении отдельных видов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дополнить пунктом 33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Гражданские пассажирские самолеты, классифицируемые кодами единой Товарной номенклатуры внешнеэкономической деятельности Таможенного союза 8802 40 003 5, 8802 40 003 6 и 8802 40 004 6, за исключением воздушных судов с максимальным количеством пассажирских мест, указанным в схеме размещения пассажиров (LOPA), одобренным уполномоченным органом, ответственным за поддержание летной годности воздушных судов, свыше 50 и менее 110 мест, в случае заключения участниками внешнеэкономической деятельности государств – членов Таможенного союза договоров и помещения самолетов под таможенную процедуру временного ввоза (допуска) до 1 января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полного условного освобождения от уплаты таможенных пошлин, налогов в отношении таких самолетов составляет 5 лет со дня помещения самолетов под таможенную процедуру временного ввоза (допуска).".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