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2353" w14:textId="3d52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временно ввозимых с полным условным освобождением от уплаты таможенных пошлин, налогов, в отношении отдельных видов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31 января 2014 года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Таможенного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временно ввозимых с полным условным освобождением от уплаты таможенных пошлин, налогов, утвержденный Решением Комиссии Таможенного союза от 18 июня 2010 г. № 331, дополнить пунктом 33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Гражданские пассажирские самолеты, классифицируемые кодами единой Товарной номенклатуры внешнеэкономической деятельности Таможенного союза 8802 40 003 5, 8802 40 003 6 и 8802 40 004 6, за исключением воздушных судов с максимальным количеством пассажирских мест, указанным в схеме размещения пассажиров (LOPA), одобренным уполномоченным органом, ответственным за поддержание летной годности воздушных судов, свыше 50 и менее 110 мест, в случае заключения участниками внешнеэкономической деятельности государств – членов Таможенного союза договоров и помещения самолетов под таможенную процедуру временного ввоза (допуска) до 1 января 2017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полного условного освобождения от уплаты таможенных пошлин, налогов в отношении таких самолетов составляет 5 лет со дня помещения самолетов под таможенную процедуру временного ввоза (допуска).".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