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e3ee" w14:textId="bc7e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Таможенного союза в отношении отдельных видов двигателей переменного тока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31 января 2014 года № 3.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 работы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Евразийской экономической комиссии, утвержденным Решением Высшего Евразийского экономического совета от 18 ноября 2011 г. № 1,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функционировании Таможенного союза в рамках многосторонней торговой системы от 19 мая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многофазных двигателей переменного тока прочих мощностью более 7,5 кВт, но не более 37 кВт (код 8501 52 300 0 ТН ВЭД ТС), в размере 5 процентов от таможенной стоимости с даты вступления в силу Решения Совета Евразийской экономической комиссии от 31 января 2014 г. № 3 по 31 декабря 2015 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(приложение к Решению Совета Евразийской экономической комиссии от 16 июля 2012 г. № 54) следующие изменения: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8501 52 300 0 ТН ВЭД ТС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30С)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примечания к Единому таможенному тарифу Таможенного союза дополнить примечанием 30С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30С)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5 % от таможенной стоимости применяется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31 января 2014 г. № 3 по 31.12.2015 включительно.".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