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25d4" w14:textId="2112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декабря 2014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217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частей для ружей или винтовок товарной позиции 9303 и в Решение Коллегии Евразийской экономической комиссии от 16 августа 2012 г. № 134»: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г. № 16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
номенклатуре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Группу 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дополнительным примечанием Таможенного союза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«Дополнительное примечание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подсубпозиции 9305 20 000 1 при определении количества стволов в дополнительных единицах измерения необходимо руководствоваться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ствол, имеющий один канал для метания, считается как один ствол;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неразъемные стволы, например, спаянные или цельнолитые, имеющие несколько каналов для метания, считаются как один ствол.».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