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febe" w14:textId="575f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2.7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декабря 2014 года № 247. Утратило силу решением Коллегии Евразийской экономической комиссии от 21 апреля 2015 года № 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Коллегии Евразийской экономической комиссии от 21.04.2015 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> (вступает в силу по истечении 30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Раздел 2.7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утвержденного Решением Коллегии Евразийской экономической комиссии от 16 августа 2012 г. № 134, дополнить позициями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после подраздела «Молочайные»: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1724"/>
        <w:gridCol w:w="6943"/>
      </w:tblGrid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FAGACEAE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БУКОВЫЕ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Quercus mongolica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 монгольский (из России)***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подраздела «Непентосовые»: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0"/>
        <w:gridCol w:w="1747"/>
        <w:gridCol w:w="6843"/>
      </w:tblGrid>
      <w:tr>
        <w:trPr>
          <w:trHeight w:val="525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OLEACEAE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МАСЛИНОВЫЕ</w:t>
            </w:r>
          </w:p>
        </w:tc>
      </w:tr>
      <w:tr>
        <w:trPr>
          <w:trHeight w:val="525" w:hRule="atLeast"/>
        </w:trPr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Fraxinus mandshurica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Ясень манчжурский (из России) ***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