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dd74" w14:textId="8fad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2014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Главу 35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ветеринарных (ветеринарно-санитарных) требований, предъявляемых к товарам, подлежащим ветеринарному контролю (надзору), утвержденных Решением Комиссии Таможенного союза от 18 июня 2010 г. № 317, после слов «ботулинического токсина» дополнить словами «(для консервированных кормов влажностью более 14%)».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