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fad7" w14:textId="cc7f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частей для ружей или винтовок товарной позиции 9303 и в Решение Коллегии Евразийской экономической комиссии от 16 августа 2012 г.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2014 года № 217.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внести в группу 93 единой Товарной номенклатуры внешнеэкономической деятельности Таможенного союза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г. № 217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</w:t>
      </w:r>
      <w:r>
        <w:br/>
      </w:r>
      <w:r>
        <w:rPr>
          <w:rFonts w:ascii="Times New Roman"/>
          <w:b/>
          <w:i w:val="false"/>
          <w:color w:val="000000"/>
        </w:rPr>
        <w:t>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9305 20 000 0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ружей или винтовок товарной позиции 9303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г. № 217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</w:t>
      </w:r>
      <w:r>
        <w:br/>
      </w:r>
      <w:r>
        <w:rPr>
          <w:rFonts w:ascii="Times New Roman"/>
          <w:b/>
          <w:i w:val="false"/>
          <w:color w:val="000000"/>
        </w:rPr>
        <w:t>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9305 20 000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ружей или винтовок товарной позиции 9303: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9305 20 000 1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стволы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9305 20 000 9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г. № 217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9305 20 000 1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стволы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9305 20 000 9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г. № 217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группу 93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дополнительным примечанием Таможенного союза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"Дополнительное примечание Таможенного союза: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подсубпозиции 9305 20 000 1 при определении количества стволов в дополнительных единицах измерения необходимо руководствоваться следующим: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ствол, имеющий один канал для метания, считается как один ствол;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неразъемные стволы, например, спаянные или цельнолитые, имеющие несколько каналов для метания, считаются как один ствол.".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