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fad7" w14:textId="cc7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частей для ружей или винтовок товарной позиции 9303 и в Решение Коллегии Евразийской экономической комиссии от 16 августа 2012 г.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217.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внести в группу 93 единой Товарной номенклатуры внешнеэкономической деятельности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217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9305 20 000 0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ружей или винтовок товарной позиции 9303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217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</w:t>
      </w:r>
      <w:r>
        <w:br/>
      </w:r>
      <w:r>
        <w:rPr>
          <w:rFonts w:ascii="Times New Roman"/>
          <w:b/>
          <w:i w:val="false"/>
          <w:color w:val="000000"/>
        </w:rPr>
        <w:t>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9305 20 000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ружей или винтовок товарной позиции 9303: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стволы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217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стволы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217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группу 93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дополнительным примечанием Таможенного союза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"Дополнительное примечание Таможенного союза: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подсубпозиции 9305 20 000 1 при определении количества стволов в дополнительных единицах измерения необходимо руководствоваться следующим: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ствол, имеющий один канал для метания, считается как один ствол;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неразъемные стволы, например, спаянные или цельнолитые, имеющие несколько каналов для метания, считаются как один ствол.".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