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41a0" w14:textId="2b94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абзац девятый пункта 2-1 Решения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ноября 2014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вступлением в силу технических регламентов Таможенного союза «О безопасности зерна» (ТР ТС 015/2011), «Технический регламент на масложировую продукцию» (ТР ТС 024/2011) и «Технический регламент на соковую продукцию из фруктов и овощей» (ТР ТС 023/2011)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28 мая 2010 г. № 299 «О применении санитарных мер в таможенном союзе»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разделу 1. «Требования безопасности и пищевой ценности пищевых продуктов» в части требований к маркировке пищевой продукции, являющейся объектом технического регулирования технического регламента Таможенного союза «Пищевая продукция в части ее маркировки» (ТР ТС 022/2011), в части требований к продукции, являющейся объектом технического регулирования технических регламентов Таможенного союза «О безопасности зерна» (ТР ТС 015/2011), «Технический регламент на масложировую продукцию» (ТР ТС 024/2011) и «Технический регламент на соковую продукцию из фруктов и овощей» (ТР ТС 023/2011), в связи с вступлением в силу указанных технических регламентов;».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