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f1ba" w14:textId="3b7f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изменения в технический регламент Таможенного союза "Требования безопасности пищевых добавок, ароматизаторов и технологических вспомогательных средств" (ТР ТС 029/2012)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производство и выпуск в обращение в соответствии с обязательными требованиями, установленными техническим регламентом Таможенного союза «Требования безопасности пищевых добавок, ароматизаторов и технологических вспомогательных средств» (ТР ТС 029/2012), такой пищевой продукции для детского питания для детей раннего возраста, как последующие смеси для здоровых детей старше 4 месяцев, которая содержит этилванилин (таблица 2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регламенту) и в отношении которой имеются сведения о государственной регистрации в качестве специализированной пищевой продукции, проведенной до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69 «О внесении изменения в технический регламент Таможенного союза «Требования безопасности пищевых добавок, ароматизаторов и технологических вспомогательных средств» (ТР ТС 029/2012)», допускаются до 6 апреля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продукции, указанной в пункте 1 настоящего Решения, допускается в течение срока годности такой продукции, установленного ее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