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f1ba" w14:textId="3b7f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изменения в технический регламент Таможенного союза "Требования безопасности пищевых добавок, ароматизаторов и технологических вспомогательных средств" (ТР ТС 029/2012)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ноября 2014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производство и выпуск в обращение в соответствии с обязательными требованиями, установленными техническим регламентом Таможенного союза «Требования безопасности пищевых добавок, ароматизаторов и технологических вспомогательных средств» (ТР ТС 029/2012), такой пищевой продукции для детского питания для детей раннего возраста, как последующие смеси для здоровых детей старше 4 месяцев, которая содержит этилванилин (таблица 2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регламенту) и в отношении которой имеются сведения о государственной регистрации в качестве специализированной пищевой продукции, проведенной до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сентября 2014 г. № 69 «О внесении изменения в технический регламент Таможенного союза «Требования безопасности пищевых добавок, ароматизаторов и технологических вспомогательных средств» (ТР ТС 029/2012)», допускаются до 6 апреля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Обращение продукции, указанной в пункте 1 настоящего Решения, допускается в течение срока годности такой продукции, установленного ее 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