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5ffe" w14:textId="dd05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Порядке осуществления Евразийским экономическим союзом международного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2014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Порядке осуществления Евразийским экономическим союзом международного сотрудничества»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Порядке осуществления Евразийским экономическим</w:t>
      </w:r>
      <w:r>
        <w:br/>
      </w:r>
      <w:r>
        <w:rPr>
          <w:rFonts w:ascii="Times New Roman"/>
          <w:b/>
          <w:i w:val="false"/>
          <w:color w:val="000000"/>
        </w:rPr>
        <w:t>
союзом международного сотрудничества»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Порядке осуществления Евразийским экономическим союзом международного сотрудничества»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423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осуществления Евразийским </w:t>
      </w:r>
      <w:r>
        <w:br/>
      </w:r>
      <w:r>
        <w:rPr>
          <w:rFonts w:ascii="Times New Roman"/>
          <w:b/>
          <w:i w:val="false"/>
          <w:color w:val="000000"/>
        </w:rPr>
        <w:t>
экономическим союзом международного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осуществления Евразийским экономическим союзом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2014 г.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Евразийским экономическим</w:t>
      </w:r>
      <w:r>
        <w:br/>
      </w:r>
      <w:r>
        <w:rPr>
          <w:rFonts w:ascii="Times New Roman"/>
          <w:b/>
          <w:i w:val="false"/>
          <w:color w:val="000000"/>
        </w:rPr>
        <w:t>
союзом международного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Международное сотрудничество Евразийского экономического союза (далее – Союз) направлено на достижение целей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Союза включает в себя контакты официальных представителей органов Союза с официальными представителями третьих государств, международных организаций и международных интеграционных объединений, участие в мероприятиях международного характера, в том числе презентациях, конференциях, семинарах.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осуществляется Председателем Высшего Евразийского экономического совета (далее – Высший совет), членами Высшего совета, Председателем Евразийского межправительственного совета, членами Евразийского межправительственного совета, членами Совета Евразийской экономической комиссии (далее – Комиссия), Председателем и членами Коллегии Комиссии как на территориях государств – членов Союза (далее – государства-члены), так и за рубежом,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Договор). Должностные лица и сотрудники Комиссии осуществляют экспертное сопровождение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официальных представителей Комиссии осуществляется по согласованию с государствами-членами с их последующим информированием о результатах такого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направлено на достижение целей Союза,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и осуществляться с целью позиционирования Союза как надежного, предсказуемого партнера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Комиссии осуществляется в соответствии с основными направлениями международной деятельности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международной деятельности Союза формируются в том числе на основе предложений государств-членов по развитию приоритетных направлений деятельности Союза и его целевых ориентиров и ежегодно утверждаются Высшим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основными направлениями международной деятельности Союза, подпунктом 12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 и во взаимодействии с государствами-членами Комиссией формируется план зарубежных командировок.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государств-членов план зарубежных командировок может быть дополнен в порядке, установленном Регламентом работы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 Коллегии Комиссии при осуществлении международных контактов за рубежом заблаговременно направляет в министерства иностранных дел и диппредставительства государств-членов в государстве проведения визита программу визита и состав делегации,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может обратиться в министерство иностранных дел председательствующего в Совете Комиссии государства-члена для оказания содействия в организации переговоров, предусмотренных программой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диппредставительства председательствующего в Совете Комиссии государства-члена содействие оказывает министерство иностранных дел следующего в алфавитном порядке государства-члена, у которого имеется диппредставительство в государстве проведения визита. Транспортное обеспечение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 Коллегии Комиссии, к компетенции которого относятся вопросы, обсуждавшиеся в рамках состоявшегося международного контакта, в 10-дневный срок информирует министерства иностранных дел государств-членов о результатах состоявшихся международных контактов членов Коллегии Комиссии, директоров департаментов Комиссии и их заместителей и проведенных переговорах.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 государств-членов ежемесячно направляют в Комиссию информацию (аналитическую справку) о результатах международных контактов руководителей органов государственной власти государств-членов по вопросам, относящимся к компетенции Союза, определенной в соответствии с Договором и международными договорами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и члены Коллегии Комиссии принимают меры с целью обеспечения участия представителей всех государств-членов в международных контактах.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и члены Коллегии Комиссии, директора департаментов Комиссии и их заместители осуществляют международное сотрудничество в соответствии с основными принципами функционирования и целями Союза, определенными Договором, и руководствуясь основными направлениями международной деятельности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рамках международного сотрудничества Комиссия вправе подписывать с третьими государствами, международными организациями и международными интеграционными объединениями документы, не являющиеся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указанных документов осуществляется от имени Комиссии Председателем или членом Коллегии Комиссии после согласования с государствами-членами и при наличии соответствующего акта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Комиссии по окончании очередного календарного года представляет на рассмотрение Высшего совета доклад о результатах реализации основных направлений международной деятельности Союза, предусмотренных пунктом 2 настоящего Порядка.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