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6ad6" w14:textId="7966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изменения в технический регламент Таможенного союза "Требования безопасности пищевых добавок, ароматизаторов и технологических вспомогательных средств" (ТР ТС 029/2012)"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 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«Требования безопасности пищевых добавок,</w:t>
      </w:r>
      <w:r>
        <w:br/>
      </w:r>
      <w:r>
        <w:rPr>
          <w:rFonts w:ascii="Times New Roman"/>
          <w:b/>
          <w:i w:val="false"/>
          <w:color w:val="000000"/>
        </w:rPr>
        <w:t xml:space="preserve">
ароматизаторов и технологических вспомогательных средств» </w:t>
      </w:r>
      <w:r>
        <w:br/>
      </w:r>
      <w:r>
        <w:rPr>
          <w:rFonts w:ascii="Times New Roman"/>
          <w:b/>
          <w:i w:val="false"/>
          <w:color w:val="000000"/>
        </w:rPr>
        <w:t>
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таблице 2 приложения 29 к техническому регламенту Таможенного союза «Требования безопасности пищевых добавок, ароматизаторов и технологических вспомогательных средств» (ТР ТС 029/2012), принятому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58, в разделе «Ароматизаторы» позицию вторую в графе первой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«Ванилин для продуктов на зерновой и фруктовой основах6».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Решения вступает в силу с 15 февраля 2015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