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224c" w14:textId="3a92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применения антидемпинговой меры, установленной Решением Комиссии Таможенного союза от 9 декабря 2011 г.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пятым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применении специальных защитных, антидемпинговых и компенсационных мер по отношению к третьим странам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по 27 февраля 2015 г. включительно применение антидемпинговой меры,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904 «О мерах по защите экономических интересов производителей стальных кованых валков для прокатных станов в Таможенном союзе».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 в период с даты вступления в силу настоящего Решения по 27 февраля 2015 г. включительно обеспечить взимание антидемпинговой пошлины по ставке,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904, в порядке, установленном для взимания предварительных антидемпинговых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27 июня 2014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