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fa11" w14:textId="012f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5 Перечня нормативных технических документов, действующих в качестве единых на таможенной территории Таможенного союза для целей определения классификационных и стоимостных характеристик драгоценных камней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мая 2014 года № 66. Утратило силу решением Коллегии Евразийской экономической комиссии от 6 октября 2015 года № 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технических документов, действующих в качестве единых на таможенной территории Таможенного союза для целей определения классификационных и стоимостных характеристик драгоценных камней, утвержденного Решением Комиссии Таможенного союза от 22 июня 2011 г. № 723,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подпункте 5.1 слова «02-15-01-2011 (май)» заменить словами «02-15-01-2013 (июль)»;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подпункте 5.3 цифры «54-01-01-2006» заменить цифрами «54-01-01-2013»;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дополнить подпунктами 5.8 и 5.9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«5.8. Расчетные цены на сапфиры природные обработанные (ограненные вставки). № 54-01-05-2013.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5.9. Расчетные цены на рубины природные обработанные (ограненные вставки). № 54-01-06-2013.».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