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adb7" w14:textId="ecfa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проекте решения Высшего Евразийского экономического совета "О реализации в 2013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мая 2014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экономике и финансовой политике Евразийской экономической комиссии Сулейменова Т.М. об итогах применения в 2013 году механизма зачисления и распределения сумм ввозных таможенных пошлин (иных пошлин, налогов и сборов, имеющих эквивалентное действие),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проекте решения Высшего Евразийского экономического совета «О реализации в 2013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81407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                      20 г. №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проекте решения Высшего Евразийского экономического совета</w:t>
      </w:r>
      <w:r>
        <w:br/>
      </w:r>
      <w:r>
        <w:rPr>
          <w:rFonts w:ascii="Times New Roman"/>
          <w:b/>
          <w:i w:val="false"/>
          <w:color w:val="000000"/>
        </w:rPr>
        <w:t>
«О реализации в 2013 году Соглашения об установлении</w:t>
      </w:r>
      <w:r>
        <w:br/>
      </w:r>
      <w:r>
        <w:rPr>
          <w:rFonts w:ascii="Times New Roman"/>
          <w:b/>
          <w:i w:val="false"/>
          <w:color w:val="000000"/>
        </w:rPr>
        <w:t>
и применении в таможенном союзе порядка зачисления</w:t>
      </w:r>
      <w:r>
        <w:br/>
      </w:r>
      <w:r>
        <w:rPr>
          <w:rFonts w:ascii="Times New Roman"/>
          <w:b/>
          <w:i w:val="false"/>
          <w:color w:val="000000"/>
        </w:rPr>
        <w:t>
и распределения ввозных таможенных пошлин (иных пошлин, налогов</w:t>
      </w:r>
      <w:r>
        <w:br/>
      </w:r>
      <w:r>
        <w:rPr>
          <w:rFonts w:ascii="Times New Roman"/>
          <w:b/>
          <w:i w:val="false"/>
          <w:color w:val="000000"/>
        </w:rPr>
        <w:t>
и сборов, имеющих эквивалентное действие) от 20 мая 2010 года»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Коллегии Евразийской экономической комиссии об итогах применения в 2013 году механизма зачисления и распределения сумм ввозных таможенных пошлин (иных пошлин, налогов и сборов, имеющих эквивалентное действие),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Высшего Евразийского экономического совета «О реализации в 2013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года» (прилагается) и внести его для рассмотрения на очередном заседании Высшего Евразийского экономического совета на уровне глав правительств.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87"/>
        <w:gridCol w:w="187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1407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 »                       20 г. №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реализации в 2013 году Соглашения об установлении</w:t>
      </w:r>
      <w:r>
        <w:br/>
      </w:r>
      <w:r>
        <w:rPr>
          <w:rFonts w:ascii="Times New Roman"/>
          <w:b/>
          <w:i w:val="false"/>
          <w:color w:val="000000"/>
        </w:rPr>
        <w:t>
и применении в таможенном союзе порядка зачисления</w:t>
      </w:r>
      <w:r>
        <w:br/>
      </w:r>
      <w:r>
        <w:rPr>
          <w:rFonts w:ascii="Times New Roman"/>
          <w:b/>
          <w:i w:val="false"/>
          <w:color w:val="000000"/>
        </w:rPr>
        <w:t>
и распределения ввозных таможенных пошлин (иных пошлин,</w:t>
      </w:r>
      <w:r>
        <w:br/>
      </w:r>
      <w:r>
        <w:rPr>
          <w:rFonts w:ascii="Times New Roman"/>
          <w:b/>
          <w:i w:val="false"/>
          <w:color w:val="000000"/>
        </w:rPr>
        <w:t>
налогов и сборов, имеющих эквивалентное действие)</w:t>
      </w:r>
      <w:r>
        <w:br/>
      </w:r>
      <w:r>
        <w:rPr>
          <w:rFonts w:ascii="Times New Roman"/>
          <w:b/>
          <w:i w:val="false"/>
          <w:color w:val="000000"/>
        </w:rPr>
        <w:t>
от 20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Приняв к сведению информацию Евразийской экономической комиссии о реализации в 2013 году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года, Высший Евразийский экономический совет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продолжить работу по мониторингу реализации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 от 20 мая 2010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87"/>
        <w:gridCol w:w="187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