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4c79" w14:textId="3304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 и осуществления оценки (подтверждения) соответствия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апреля 2014 года № 54. Утратило силу решением Коллегии Евразийской экономической комиссии от 14 апреля 2014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14.04.2014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 и осуществления оценки (подтверждения) соответствия продукции.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г. № 54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Р О Г Р А М М 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содержащих правила и</w:t>
      </w:r>
      <w:r>
        <w:br/>
      </w:r>
      <w:r>
        <w:rPr>
          <w:rFonts w:ascii="Times New Roman"/>
          <w:b/>
          <w:i w:val="false"/>
          <w:color w:val="000000"/>
        </w:rPr>
        <w:t>методы исследований (испытаний) и измерений, в том</w:t>
      </w:r>
      <w:r>
        <w:br/>
      </w:r>
      <w:r>
        <w:rPr>
          <w:rFonts w:ascii="Times New Roman"/>
          <w:b/>
          <w:i w:val="false"/>
          <w:color w:val="000000"/>
        </w:rPr>
        <w:t>числе правила отбора образцов, необходимые для применения</w:t>
      </w:r>
      <w:r>
        <w:br/>
      </w:r>
      <w:r>
        <w:rPr>
          <w:rFonts w:ascii="Times New Roman"/>
          <w:b/>
          <w:i w:val="false"/>
          <w:color w:val="000000"/>
        </w:rPr>
        <w:t>и исполнения требований технического регламента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"О безопасности отдельных видов специализированной</w:t>
      </w:r>
      <w:r>
        <w:br/>
      </w:r>
      <w:r>
        <w:rPr>
          <w:rFonts w:ascii="Times New Roman"/>
          <w:b/>
          <w:i w:val="false"/>
          <w:color w:val="000000"/>
        </w:rPr>
        <w:t>пищевой продукции, в том числе диетического лечебного и</w:t>
      </w:r>
      <w:r>
        <w:br/>
      </w:r>
      <w:r>
        <w:rPr>
          <w:rFonts w:ascii="Times New Roman"/>
          <w:b/>
          <w:i w:val="false"/>
          <w:color w:val="000000"/>
        </w:rPr>
        <w:t>диетического профилактического питания" (ТР ТС 027/2012)</w:t>
      </w:r>
      <w:r>
        <w:br/>
      </w:r>
      <w:r>
        <w:rPr>
          <w:rFonts w:ascii="Times New Roman"/>
          <w:b/>
          <w:i w:val="false"/>
          <w:color w:val="000000"/>
        </w:rPr>
        <w:t>и осуществления оценки (подтверждения) соответствия</w:t>
      </w:r>
      <w:r>
        <w:br/>
      </w:r>
      <w:r>
        <w:rPr>
          <w:rFonts w:ascii="Times New Roman"/>
          <w:b/>
          <w:i w:val="false"/>
          <w:color w:val="000000"/>
        </w:rPr>
        <w:t>продукции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2200"/>
        <w:gridCol w:w="4966"/>
        <w:gridCol w:w="1078"/>
        <w:gridCol w:w="1326"/>
        <w:gridCol w:w="1327"/>
        <w:gridCol w:w="703"/>
      </w:tblGrid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Государство–член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 – 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В6 (включая гликозилированные формы) методом высокоэффективной жидкостной хроматографии (ВЭЖХ).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14663:2005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йода методом масс-спектрометрии с индуктивно-связанной плазмой.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15111:2007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67.140.10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Чай. Отбор пробы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ИСО 1839-2011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 приложения 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птицы, субпродукты и полуфабрикаты из мяса птицы. Метод определения количества мезофильных аэробных и факультативно-анаэробных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50396.1-2010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 приложения 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67.080.01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плодов и овощей. Метод определения содержания витамина РР.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50479-93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пищевые детского и диетического питания. Методика выполнения измерений массовой доли каротиноидов.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51181-98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определения лактозы и галактозы.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51259-99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67.160.20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 и овощные. Метод определения содержания натрия, калия, кальция и магния с помощью атомно-абсорбционной спектрометрии.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51429-99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детского питания на основе молока. Определение содержания жира. Гравиметрический метод (контрольный метод).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ИСО 8381:2009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содержания лактозы - методом ферментативного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для детского питания и сырье для их производства. Определение содержания насыщенных жирных кислот (НЖК) и полиненасыщенных жирных кислот (ПНЖК) классов омега-3, омега-6.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содержания витамина В12 с помощью тест-системы VITAFAST.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Определение содержания биотина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помощью тест-системы VITAFAST.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специализированные, биологически активные добавки и добавки пищевые. Определение содержания сахаров.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Определение содержания инозитола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пищевых продуктах с помощью тест-системы VITAFAST.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и пищевые продукты на основе молока. Определение содержания жира гравиметрическим методом Вейбулла-Бернтропа (контрольный метод).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Продукты детского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ИСО 8262-1-2009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