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4f1d" w14:textId="eb04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25 марта 2014 года № 48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решения Комиссии Таможенного союза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25 марта 2014 г. № 48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решения Комиссии Таможенного союза</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Решения Комиссии Таможенного союза от 14 октября 2010 г. № 422 «О форме таможенной декларации на транспортное средство и Инструкции о порядке ее заполнения»:</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абзац второй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временного вывоза с единой таможенной территории Таможенного союза автомобильного транспортного средства международной перевозки, зарегистрированного в государстве–члене Таможенного союза, таможенная декларация на транспортное средство по желанию лица, совершающего таможенные операции, может подаваться в форме документа о государственной регистрации и национальной принадлежности транспортного средства международной перевозки, выданного в соответствии с законодательством государства–члена Таможенного союза (далее – свидетельство). При ввозе на таможенную территорию Таможенного союза автомобильного транспортного средства международной перевозки, зарегистрированного в государстве–члене Таможенного союза, в целях завершения его временного вывоза допускается подача таможенной декларации на транспортное средство в форме свидетельства, представленного при таможенном декларировании такого временного вывоза.»;</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абзаце третьем</w:t>
      </w:r>
      <w:r>
        <w:rPr>
          <w:rFonts w:ascii="Times New Roman"/>
          <w:b w:val="false"/>
          <w:i w:val="false"/>
          <w:color w:val="000000"/>
          <w:sz w:val="28"/>
        </w:rPr>
        <w:t xml:space="preserve"> второе предложение изложить в следующей редакции: «При этом ее подача сопровождается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Инструкции</w:t>
      </w:r>
      <w:r>
        <w:rPr>
          <w:rFonts w:ascii="Times New Roman"/>
          <w:b w:val="false"/>
          <w:i w:val="false"/>
          <w:color w:val="000000"/>
          <w:sz w:val="28"/>
        </w:rPr>
        <w:t xml:space="preserve"> о порядке совершения отдельных таможенных операций в отношении временно ввозимых и временно вывозимых транспортных средств международной перевозки, утвержденной Решением Комиссии Таможенного союза от 18 ноября 2010 г. № 511:</w:t>
      </w:r>
      <w:r>
        <w:br/>
      </w:r>
      <w:r>
        <w:rPr>
          <w:rFonts w:ascii="Times New Roman"/>
          <w:b w:val="false"/>
          <w:i w:val="false"/>
          <w:color w:val="000000"/>
          <w:sz w:val="28"/>
        </w:rPr>
        <w:t>
</w:t>
      </w:r>
      <w:r>
        <w:rPr>
          <w:rFonts w:ascii="Times New Roman"/>
          <w:b w:val="false"/>
          <w:i w:val="false"/>
          <w:color w:val="000000"/>
          <w:sz w:val="28"/>
        </w:rPr>
        <w:t>
      а) в </w:t>
      </w:r>
      <w:r>
        <w:rPr>
          <w:rFonts w:ascii="Times New Roman"/>
          <w:b w:val="false"/>
          <w:i w:val="false"/>
          <w:color w:val="000000"/>
          <w:sz w:val="28"/>
        </w:rPr>
        <w:t>пункте 1</w:t>
      </w:r>
      <w:r>
        <w:rPr>
          <w:rFonts w:ascii="Times New Roman"/>
          <w:b w:val="false"/>
          <w:i w:val="false"/>
          <w:color w:val="000000"/>
          <w:sz w:val="28"/>
        </w:rPr>
        <w:t xml:space="preserve"> слова «пунктом 3 статьи 180» заменить словами «пунктами 3 и 6 статьи 180»;</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 2</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«В случае временного вывоза с единой таможенной территории Таможенного союза автомобильного ТСМП, зарегистрированного в государстве–члене Таможенного союза, ТДТС по желанию лица, совершающего таможенные операции, может подаваться либо в форме документа о государственной регистрации и национальной принадлежности ТСМП, выданного в установленном порядке (далее – свидетельство), в соответствии с разделом II</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либо с использованием стандартных документов перевозчика или по форме ТДТС, утвержденной Решением КТС № 422.»;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3</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«Подача ТДТС в соответствии с настоящей Инструкцией не сопровождается представлением таможенному органу ее электронной копии.»;</w:t>
      </w:r>
      <w:r>
        <w:br/>
      </w:r>
      <w:r>
        <w:rPr>
          <w:rFonts w:ascii="Times New Roman"/>
          <w:b w:val="false"/>
          <w:i w:val="false"/>
          <w:color w:val="000000"/>
          <w:sz w:val="28"/>
        </w:rPr>
        <w:t>
</w:t>
      </w:r>
      <w:r>
        <w:rPr>
          <w:rFonts w:ascii="Times New Roman"/>
          <w:b w:val="false"/>
          <w:i w:val="false"/>
          <w:color w:val="000000"/>
          <w:sz w:val="28"/>
        </w:rPr>
        <w:t>
      г) в </w:t>
      </w:r>
      <w:r>
        <w:rPr>
          <w:rFonts w:ascii="Times New Roman"/>
          <w:b w:val="false"/>
          <w:i w:val="false"/>
          <w:color w:val="000000"/>
          <w:sz w:val="28"/>
        </w:rPr>
        <w:t>абзаце первом</w:t>
      </w:r>
      <w:r>
        <w:rPr>
          <w:rFonts w:ascii="Times New Roman"/>
          <w:b w:val="false"/>
          <w:i w:val="false"/>
          <w:color w:val="000000"/>
          <w:sz w:val="28"/>
        </w:rPr>
        <w:t xml:space="preserve"> пункта 5 слова «декларации на транспортное средство» заменить аббревиатурой «ТДТС»;</w:t>
      </w:r>
      <w:r>
        <w:br/>
      </w:r>
      <w:r>
        <w:rPr>
          <w:rFonts w:ascii="Times New Roman"/>
          <w:b w:val="false"/>
          <w:i w:val="false"/>
          <w:color w:val="000000"/>
          <w:sz w:val="28"/>
        </w:rPr>
        <w:t>
</w:t>
      </w:r>
      <w:r>
        <w:rPr>
          <w:rFonts w:ascii="Times New Roman"/>
          <w:b w:val="false"/>
          <w:i w:val="false"/>
          <w:color w:val="000000"/>
          <w:sz w:val="28"/>
        </w:rPr>
        <w:t>
      д) в </w:t>
      </w:r>
      <w:r>
        <w:rPr>
          <w:rFonts w:ascii="Times New Roman"/>
          <w:b w:val="false"/>
          <w:i w:val="false"/>
          <w:color w:val="000000"/>
          <w:sz w:val="28"/>
        </w:rPr>
        <w:t>абзаце первом</w:t>
      </w:r>
      <w:r>
        <w:rPr>
          <w:rFonts w:ascii="Times New Roman"/>
          <w:b w:val="false"/>
          <w:i w:val="false"/>
          <w:color w:val="000000"/>
          <w:sz w:val="28"/>
        </w:rPr>
        <w:t xml:space="preserve"> пункта 7 слова «документа о государственной регистрации и национальной принадлежности ТСМП, выданного в установленном порядке (далее – свидетельство)» заменить словом «свидетельства»;</w:t>
      </w:r>
      <w:r>
        <w:br/>
      </w:r>
      <w:r>
        <w:rPr>
          <w:rFonts w:ascii="Times New Roman"/>
          <w:b w:val="false"/>
          <w:i w:val="false"/>
          <w:color w:val="000000"/>
          <w:sz w:val="28"/>
        </w:rPr>
        <w:t>
</w:t>
      </w:r>
      <w:r>
        <w:rPr>
          <w:rFonts w:ascii="Times New Roman"/>
          <w:b w:val="false"/>
          <w:i w:val="false"/>
          <w:color w:val="000000"/>
          <w:sz w:val="28"/>
        </w:rPr>
        <w:t>
      е) наименование </w:t>
      </w:r>
      <w:r>
        <w:rPr>
          <w:rFonts w:ascii="Times New Roman"/>
          <w:b w:val="false"/>
          <w:i w:val="false"/>
          <w:color w:val="000000"/>
          <w:sz w:val="28"/>
        </w:rPr>
        <w:t>раздела II</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«II. Совершение таможенных операций при таможенном декларировании временно ввозимых и временно вывозимых ТСМП, за исключением случаев, когда ТДТС подается в форме свидетельства»;</w:t>
      </w:r>
      <w:r>
        <w:br/>
      </w:r>
      <w:r>
        <w:rPr>
          <w:rFonts w:ascii="Times New Roman"/>
          <w:b w:val="false"/>
          <w:i w:val="false"/>
          <w:color w:val="000000"/>
          <w:sz w:val="28"/>
        </w:rPr>
        <w:t>
</w:t>
      </w:r>
      <w:r>
        <w:rPr>
          <w:rFonts w:ascii="Times New Roman"/>
          <w:b w:val="false"/>
          <w:i w:val="false"/>
          <w:color w:val="000000"/>
          <w:sz w:val="28"/>
        </w:rPr>
        <w:t>
      ж) в </w:t>
      </w:r>
      <w:r>
        <w:rPr>
          <w:rFonts w:ascii="Times New Roman"/>
          <w:b w:val="false"/>
          <w:i w:val="false"/>
          <w:color w:val="000000"/>
          <w:sz w:val="28"/>
        </w:rPr>
        <w:t>пункте 11</w:t>
      </w:r>
      <w:r>
        <w:rPr>
          <w:rFonts w:ascii="Times New Roman"/>
          <w:b w:val="false"/>
          <w:i w:val="false"/>
          <w:color w:val="000000"/>
          <w:sz w:val="28"/>
        </w:rPr>
        <w:t xml:space="preserve"> слово «оформленную» заменить словом «представленную»;</w:t>
      </w:r>
      <w:r>
        <w:br/>
      </w:r>
      <w:r>
        <w:rPr>
          <w:rFonts w:ascii="Times New Roman"/>
          <w:b w:val="false"/>
          <w:i w:val="false"/>
          <w:color w:val="000000"/>
          <w:sz w:val="28"/>
        </w:rPr>
        <w:t>
</w:t>
      </w:r>
      <w:r>
        <w:rPr>
          <w:rFonts w:ascii="Times New Roman"/>
          <w:b w:val="false"/>
          <w:i w:val="false"/>
          <w:color w:val="000000"/>
          <w:sz w:val="28"/>
        </w:rPr>
        <w:t>
      з) в </w:t>
      </w:r>
      <w:r>
        <w:rPr>
          <w:rFonts w:ascii="Times New Roman"/>
          <w:b w:val="false"/>
          <w:i w:val="false"/>
          <w:color w:val="000000"/>
          <w:sz w:val="28"/>
        </w:rPr>
        <w:t>подпункте 2</w:t>
      </w:r>
      <w:r>
        <w:rPr>
          <w:rFonts w:ascii="Times New Roman"/>
          <w:b w:val="false"/>
          <w:i w:val="false"/>
          <w:color w:val="000000"/>
          <w:sz w:val="28"/>
        </w:rPr>
        <w:t xml:space="preserve"> пункта 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третьем</w:t>
      </w:r>
      <w:r>
        <w:rPr>
          <w:rFonts w:ascii="Times New Roman"/>
          <w:b w:val="false"/>
          <w:i w:val="false"/>
          <w:color w:val="000000"/>
          <w:sz w:val="28"/>
        </w:rPr>
        <w:t xml:space="preserve"> слово «направляется» заменить словом «возвращается»;</w:t>
      </w:r>
      <w:r>
        <w:br/>
      </w:r>
      <w:r>
        <w:rPr>
          <w:rFonts w:ascii="Times New Roman"/>
          <w:b w:val="false"/>
          <w:i w:val="false"/>
          <w:color w:val="000000"/>
          <w:sz w:val="28"/>
        </w:rPr>
        <w:t>
</w:t>
      </w:r>
      <w:r>
        <w:rPr>
          <w:rFonts w:ascii="Times New Roman"/>
          <w:b w:val="false"/>
          <w:i w:val="false"/>
          <w:color w:val="000000"/>
          <w:sz w:val="28"/>
        </w:rPr>
        <w:t>
      и) наименование </w:t>
      </w:r>
      <w:r>
        <w:rPr>
          <w:rFonts w:ascii="Times New Roman"/>
          <w:b w:val="false"/>
          <w:i w:val="false"/>
          <w:color w:val="000000"/>
          <w:sz w:val="28"/>
        </w:rPr>
        <w:t>раздела II</w:t>
      </w:r>
      <w:r>
        <w:rPr>
          <w:rFonts w:ascii="Times New Roman"/>
          <w:b w:val="false"/>
          <w:i w:val="false"/>
          <w:color w:val="000000"/>
          <w:vertAlign w:val="superscript"/>
        </w:rPr>
        <w:t>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«II</w:t>
      </w:r>
      <w:r>
        <w:rPr>
          <w:rFonts w:ascii="Times New Roman"/>
          <w:b w:val="false"/>
          <w:i w:val="false"/>
          <w:color w:val="000000"/>
          <w:vertAlign w:val="superscript"/>
        </w:rPr>
        <w:t>1</w:t>
      </w:r>
      <w:r>
        <w:rPr>
          <w:rFonts w:ascii="Times New Roman"/>
          <w:b w:val="false"/>
          <w:i w:val="false"/>
          <w:color w:val="000000"/>
          <w:sz w:val="28"/>
        </w:rPr>
        <w:t>. Совершение таможенных операций при таможенном декларировании временно вывозимых автомобильных ТСМП, зарегистрированных в государствах–членах Таможенного союза, а также при завершении временного вывоза таких ТСМП в случаях, когда ТДТС подается в форме свидетельства»;</w:t>
      </w:r>
      <w:r>
        <w:br/>
      </w:r>
      <w:r>
        <w:rPr>
          <w:rFonts w:ascii="Times New Roman"/>
          <w:b w:val="false"/>
          <w:i w:val="false"/>
          <w:color w:val="000000"/>
          <w:sz w:val="28"/>
        </w:rPr>
        <w:t>
</w:t>
      </w:r>
      <w:r>
        <w:rPr>
          <w:rFonts w:ascii="Times New Roman"/>
          <w:b w:val="false"/>
          <w:i w:val="false"/>
          <w:color w:val="000000"/>
          <w:sz w:val="28"/>
        </w:rPr>
        <w:t>
      к) </w:t>
      </w:r>
      <w:r>
        <w:rPr>
          <w:rFonts w:ascii="Times New Roman"/>
          <w:b w:val="false"/>
          <w:i w:val="false"/>
          <w:color w:val="000000"/>
          <w:sz w:val="28"/>
        </w:rPr>
        <w:t>пункт 16</w:t>
      </w:r>
      <w:r>
        <w:rPr>
          <w:rFonts w:ascii="Times New Roman"/>
          <w:b w:val="false"/>
          <w:i w:val="false"/>
          <w:color w:val="000000"/>
          <w:vertAlign w:val="superscript"/>
        </w:rPr>
        <w:t>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В случае временного вывоза автомобильных ТСМП, зарегистрированных в государствах–членах Таможенного союза, и подачи ТДТС в форме свидетельства такая подача сопровождается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л) в </w:t>
      </w:r>
      <w:r>
        <w:rPr>
          <w:rFonts w:ascii="Times New Roman"/>
          <w:b w:val="false"/>
          <w:i w:val="false"/>
          <w:color w:val="000000"/>
          <w:sz w:val="28"/>
        </w:rPr>
        <w:t>пункте 16</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слово «порожних» исключить;</w:t>
      </w:r>
      <w:r>
        <w:br/>
      </w:r>
      <w:r>
        <w:rPr>
          <w:rFonts w:ascii="Times New Roman"/>
          <w:b w:val="false"/>
          <w:i w:val="false"/>
          <w:color w:val="000000"/>
          <w:sz w:val="28"/>
        </w:rPr>
        <w:t>
</w:t>
      </w:r>
      <w:r>
        <w:rPr>
          <w:rFonts w:ascii="Times New Roman"/>
          <w:b w:val="false"/>
          <w:i w:val="false"/>
          <w:color w:val="000000"/>
          <w:sz w:val="28"/>
        </w:rPr>
        <w:t>
      слова «временно вывозимых в соответствии с пунктом 1 статьи 345 Таможенного кодекса Таможенного союза» заменить словами «зарегистрированных в государствах–членах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второй</w:t>
      </w:r>
      <w:r>
        <w:rPr>
          <w:rFonts w:ascii="Times New Roman"/>
          <w:b w:val="false"/>
          <w:i w:val="false"/>
          <w:color w:val="000000"/>
          <w:sz w:val="28"/>
        </w:rPr>
        <w:t xml:space="preserve"> после слова «проверка» дополнить словами «на основе системы анализа и управления рисками»;</w:t>
      </w:r>
      <w:r>
        <w:br/>
      </w:r>
      <w:r>
        <w:rPr>
          <w:rFonts w:ascii="Times New Roman"/>
          <w:b w:val="false"/>
          <w:i w:val="false"/>
          <w:color w:val="000000"/>
          <w:sz w:val="28"/>
        </w:rPr>
        <w:t>
</w:t>
      </w:r>
      <w:r>
        <w:rPr>
          <w:rFonts w:ascii="Times New Roman"/>
          <w:b w:val="false"/>
          <w:i w:val="false"/>
          <w:color w:val="000000"/>
          <w:sz w:val="28"/>
        </w:rPr>
        <w:t>
      м) в </w:t>
      </w:r>
      <w:r>
        <w:rPr>
          <w:rFonts w:ascii="Times New Roman"/>
          <w:b w:val="false"/>
          <w:i w:val="false"/>
          <w:color w:val="000000"/>
          <w:sz w:val="28"/>
        </w:rPr>
        <w:t>пункте 16</w:t>
      </w:r>
      <w:r>
        <w:rPr>
          <w:rFonts w:ascii="Times New Roman"/>
          <w:b w:val="false"/>
          <w:i w:val="false"/>
          <w:color w:val="000000"/>
          <w:vertAlign w:val="superscript"/>
        </w:rPr>
        <w:t>3</w:t>
      </w:r>
      <w:r>
        <w:rPr>
          <w:rFonts w:ascii="Times New Roman"/>
          <w:b w:val="false"/>
          <w:i w:val="false"/>
          <w:color w:val="000000"/>
          <w:sz w:val="28"/>
        </w:rPr>
        <w:t xml:space="preserve"> слова «таможенной декларации на транспортное средство» заменить аббревиатурой «ТДТС», слова «такого временного вывоза» заменить словами «такого временно вывозимого автомобильного ТСМП, сопровождаемая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н) дополнить пунктом 16</w:t>
      </w:r>
      <w:r>
        <w:rPr>
          <w:rFonts w:ascii="Times New Roman"/>
          <w:b w:val="false"/>
          <w:i w:val="false"/>
          <w:color w:val="000000"/>
          <w:vertAlign w:val="superscript"/>
        </w:rPr>
        <w:t>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«16</w:t>
      </w:r>
      <w:r>
        <w:rPr>
          <w:rFonts w:ascii="Times New Roman"/>
          <w:b w:val="false"/>
          <w:i w:val="false"/>
          <w:color w:val="000000"/>
          <w:vertAlign w:val="superscript"/>
        </w:rPr>
        <w:t>4</w:t>
      </w:r>
      <w:r>
        <w:rPr>
          <w:rFonts w:ascii="Times New Roman"/>
          <w:b w:val="false"/>
          <w:i w:val="false"/>
          <w:color w:val="000000"/>
          <w:sz w:val="28"/>
        </w:rPr>
        <w:t>. В случае если временный вывоз ТСМП, указанного в пункте 16</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завершается помещением такого ТСМП под таможенную процедуру в соответствии с пунктом 1 статьи 348 Таможенного кодекса Таможенного союза, таможенный орган, выпустивший такое ТСМП в соответствии с таможенной процедурой, регистрирует завершение такого временного вывоза в журнале, форма которого устанавливается органом государства–члена Таможенного союза, уполномоченным в сфере таможенного дела, в том числе с использованием информационных систем и информационных технологий.»;</w:t>
      </w:r>
      <w:r>
        <w:br/>
      </w:r>
      <w:r>
        <w:rPr>
          <w:rFonts w:ascii="Times New Roman"/>
          <w:b w:val="false"/>
          <w:i w:val="false"/>
          <w:color w:val="000000"/>
          <w:sz w:val="28"/>
        </w:rPr>
        <w:t>
</w:t>
      </w:r>
      <w:r>
        <w:rPr>
          <w:rFonts w:ascii="Times New Roman"/>
          <w:b w:val="false"/>
          <w:i w:val="false"/>
          <w:color w:val="000000"/>
          <w:sz w:val="28"/>
        </w:rPr>
        <w:t>
      о) наименование </w:t>
      </w:r>
      <w:r>
        <w:rPr>
          <w:rFonts w:ascii="Times New Roman"/>
          <w:b w:val="false"/>
          <w:i w:val="false"/>
          <w:color w:val="000000"/>
          <w:sz w:val="28"/>
        </w:rPr>
        <w:t>раздела IV</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«IV. Совершение таможенных операций при завершении временного ввоза или временного вывоза ТСМП, за исключением случаев, когда ТДТС подается в форме свидетельства»;</w:t>
      </w:r>
      <w:r>
        <w:br/>
      </w:r>
      <w:r>
        <w:rPr>
          <w:rFonts w:ascii="Times New Roman"/>
          <w:b w:val="false"/>
          <w:i w:val="false"/>
          <w:color w:val="000000"/>
          <w:sz w:val="28"/>
        </w:rPr>
        <w:t>
</w:t>
      </w:r>
      <w:r>
        <w:rPr>
          <w:rFonts w:ascii="Times New Roman"/>
          <w:b w:val="false"/>
          <w:i w:val="false"/>
          <w:color w:val="000000"/>
          <w:sz w:val="28"/>
        </w:rPr>
        <w:t>
      п) в </w:t>
      </w:r>
      <w:r>
        <w:rPr>
          <w:rFonts w:ascii="Times New Roman"/>
          <w:b w:val="false"/>
          <w:i w:val="false"/>
          <w:color w:val="000000"/>
          <w:sz w:val="28"/>
        </w:rPr>
        <w:t>пункте 28</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слово «уполномоченного» заменить словом «уполномоченным»;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3 слова «от 14 октября 2010 года» исключить;</w:t>
      </w:r>
      <w:r>
        <w:br/>
      </w:r>
      <w:r>
        <w:rPr>
          <w:rFonts w:ascii="Times New Roman"/>
          <w:b w:val="false"/>
          <w:i w:val="false"/>
          <w:color w:val="000000"/>
          <w:sz w:val="28"/>
        </w:rPr>
        <w:t>
</w:t>
      </w:r>
      <w:r>
        <w:rPr>
          <w:rFonts w:ascii="Times New Roman"/>
          <w:b w:val="false"/>
          <w:i w:val="false"/>
          <w:color w:val="000000"/>
          <w:sz w:val="28"/>
        </w:rPr>
        <w:t>
      р) в </w:t>
      </w:r>
      <w:r>
        <w:rPr>
          <w:rFonts w:ascii="Times New Roman"/>
          <w:b w:val="false"/>
          <w:i w:val="false"/>
          <w:color w:val="000000"/>
          <w:sz w:val="28"/>
        </w:rPr>
        <w:t>пункте 29</w:t>
      </w:r>
      <w:r>
        <w:rPr>
          <w:rFonts w:ascii="Times New Roman"/>
          <w:b w:val="false"/>
          <w:i w:val="false"/>
          <w:color w:val="000000"/>
          <w:sz w:val="28"/>
        </w:rPr>
        <w:t xml:space="preserve"> слово «уполномоченного» заменить словом «уполномоченным».</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