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04f1d" w14:textId="eb04f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25 марта 2014 года № 48</w:t>
      </w:r>
    </w:p>
    <w:p>
      <w:pPr>
        <w:spacing w:after="0"/>
        <w:ind w:left="0"/>
        <w:jc w:val="both"/>
      </w:pPr>
      <w:bookmarkStart w:name="z1" w:id="0"/>
      <w:r>
        <w:rPr>
          <w:rFonts w:ascii="Times New Roman"/>
          <w:b w:val="false"/>
          <w:i w:val="false"/>
          <w:color w:val="000000"/>
          <w:sz w:val="28"/>
        </w:rPr>
        <w:t>
      В соответствии со </w:t>
      </w:r>
      <w:r>
        <w:rPr>
          <w:rFonts w:ascii="Times New Roman"/>
          <w:b w:val="false"/>
          <w:i w:val="false"/>
          <w:color w:val="000000"/>
          <w:sz w:val="28"/>
        </w:rPr>
        <w:t>статьей 3</w:t>
      </w:r>
      <w:r>
        <w:rPr>
          <w:rFonts w:ascii="Times New Roman"/>
          <w:b w:val="false"/>
          <w:i w:val="false"/>
          <w:color w:val="000000"/>
          <w:sz w:val="28"/>
        </w:rPr>
        <w:t xml:space="preserve"> Договора о Евразийской экономической комиссии от 18 ноября 2011 года Коллегия Евразийской экономической комиссии </w:t>
      </w:r>
      <w:r>
        <w:rPr>
          <w:rFonts w:ascii="Times New Roman"/>
          <w:b/>
          <w:i w:val="false"/>
          <w:color w:val="000000"/>
          <w:sz w:val="28"/>
        </w:rPr>
        <w:t>решила:</w:t>
      </w:r>
      <w:r>
        <w:br/>
      </w:r>
      <w:r>
        <w:rPr>
          <w:rFonts w:ascii="Times New Roman"/>
          <w:b w:val="false"/>
          <w:i w:val="false"/>
          <w:color w:val="000000"/>
          <w:sz w:val="28"/>
        </w:rPr>
        <w:t>
</w:t>
      </w:r>
      <w:r>
        <w:rPr>
          <w:rFonts w:ascii="Times New Roman"/>
          <w:b w:val="false"/>
          <w:i w:val="false"/>
          <w:color w:val="000000"/>
          <w:sz w:val="28"/>
        </w:rPr>
        <w:t>
      1. Внести в решения Комиссии Таможенного союза изменения согласно приложению.</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по истечении 30 календарных дней с даты его официального опубликования.</w:t>
      </w:r>
    </w:p>
    <w:bookmarkEnd w:id="0"/>
    <w:p>
      <w:pPr>
        <w:spacing w:after="0"/>
        <w:ind w:left="0"/>
        <w:jc w:val="both"/>
      </w:pPr>
      <w:r>
        <w:rPr>
          <w:rFonts w:ascii="Times New Roman"/>
          <w:b w:val="false"/>
          <w:i/>
          <w:color w:val="000000"/>
          <w:sz w:val="28"/>
        </w:rPr>
        <w:t>      Председатель Коллегии</w:t>
      </w:r>
      <w:r>
        <w:br/>
      </w:r>
      <w:r>
        <w:rPr>
          <w:rFonts w:ascii="Times New Roman"/>
          <w:b w:val="false"/>
          <w:i w:val="false"/>
          <w:color w:val="000000"/>
          <w:sz w:val="28"/>
        </w:rPr>
        <w:t>
</w:t>
      </w:r>
      <w:r>
        <w:rPr>
          <w:rFonts w:ascii="Times New Roman"/>
          <w:b w:val="false"/>
          <w:i/>
          <w:color w:val="000000"/>
          <w:sz w:val="28"/>
        </w:rPr>
        <w:t>      Евразийской экономической комиссии         В. Христенко</w:t>
      </w:r>
    </w:p>
    <w:bookmarkStart w:name="z4" w:id="1"/>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Решению Коллегии        </w:t>
      </w:r>
      <w:r>
        <w:br/>
      </w:r>
      <w:r>
        <w:rPr>
          <w:rFonts w:ascii="Times New Roman"/>
          <w:b w:val="false"/>
          <w:i w:val="false"/>
          <w:color w:val="000000"/>
          <w:sz w:val="28"/>
        </w:rPr>
        <w:t>
Евразийской экономической комиссии</w:t>
      </w:r>
      <w:r>
        <w:br/>
      </w:r>
      <w:r>
        <w:rPr>
          <w:rFonts w:ascii="Times New Roman"/>
          <w:b w:val="false"/>
          <w:i w:val="false"/>
          <w:color w:val="000000"/>
          <w:sz w:val="28"/>
        </w:rPr>
        <w:t xml:space="preserve">
от 25 марта 2014 г. № 48     </w:t>
      </w:r>
    </w:p>
    <w:bookmarkEnd w:id="1"/>
    <w:bookmarkStart w:name="z5" w:id="2"/>
    <w:p>
      <w:pPr>
        <w:spacing w:after="0"/>
        <w:ind w:left="0"/>
        <w:jc w:val="left"/>
      </w:pPr>
      <w:r>
        <w:rPr>
          <w:rFonts w:ascii="Times New Roman"/>
          <w:b/>
          <w:i w:val="false"/>
          <w:color w:val="000000"/>
        </w:rPr>
        <w:t xml:space="preserve"> 
ИЗМЕНЕНИЯ,</w:t>
      </w:r>
      <w:r>
        <w:br/>
      </w:r>
      <w:r>
        <w:rPr>
          <w:rFonts w:ascii="Times New Roman"/>
          <w:b/>
          <w:i w:val="false"/>
          <w:color w:val="000000"/>
        </w:rPr>
        <w:t>
вносимые в решения Комиссии Таможенного союза</w:t>
      </w:r>
    </w:p>
    <w:bookmarkEnd w:id="2"/>
    <w:bookmarkStart w:name="z6" w:id="3"/>
    <w:p>
      <w:pPr>
        <w:spacing w:after="0"/>
        <w:ind w:left="0"/>
        <w:jc w:val="both"/>
      </w:pPr>
      <w:r>
        <w:rPr>
          <w:rFonts w:ascii="Times New Roman"/>
          <w:b w:val="false"/>
          <w:i w:val="false"/>
          <w:color w:val="000000"/>
          <w:sz w:val="28"/>
        </w:rPr>
        <w:t>
      1. В </w:t>
      </w:r>
      <w:r>
        <w:rPr>
          <w:rFonts w:ascii="Times New Roman"/>
          <w:b w:val="false"/>
          <w:i w:val="false"/>
          <w:color w:val="000000"/>
          <w:sz w:val="28"/>
        </w:rPr>
        <w:t>пункте 1</w:t>
      </w:r>
      <w:r>
        <w:rPr>
          <w:rFonts w:ascii="Times New Roman"/>
          <w:b w:val="false"/>
          <w:i w:val="false"/>
          <w:color w:val="000000"/>
          <w:sz w:val="28"/>
        </w:rPr>
        <w:t xml:space="preserve"> Решения Комиссии Таможенного союза от 14 октября 2010 г. № 422 «О форме таможенной декларации на транспортное средство и Инструкции о порядке ее заполнения»:</w:t>
      </w:r>
      <w:r>
        <w:br/>
      </w:r>
      <w:r>
        <w:rPr>
          <w:rFonts w:ascii="Times New Roman"/>
          <w:b w:val="false"/>
          <w:i w:val="false"/>
          <w:color w:val="000000"/>
          <w:sz w:val="28"/>
        </w:rPr>
        <w:t>
</w:t>
      </w:r>
      <w:r>
        <w:rPr>
          <w:rFonts w:ascii="Times New Roman"/>
          <w:b w:val="false"/>
          <w:i w:val="false"/>
          <w:color w:val="000000"/>
          <w:sz w:val="28"/>
        </w:rPr>
        <w:t>
      а) </w:t>
      </w:r>
      <w:r>
        <w:rPr>
          <w:rFonts w:ascii="Times New Roman"/>
          <w:b w:val="false"/>
          <w:i w:val="false"/>
          <w:color w:val="000000"/>
          <w:sz w:val="28"/>
        </w:rPr>
        <w:t>абзац второй</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временного вывоза с единой таможенной территории Таможенного союза автомобильного транспортного средства международной перевозки, зарегистрированного в государстве–члене Таможенного союза, таможенная декларация на транспортное средство по желанию лица, совершающего таможенные операции, может подаваться в форме документа о государственной регистрации и национальной принадлежности транспортного средства международной перевозки, выданного в соответствии с законодательством государства–члена Таможенного союза (далее – свидетельство). При ввозе на таможенную территорию Таможенного союза автомобильного транспортного средства международной перевозки, зарегистрированного в государстве–члене Таможенного союза, в целях завершения его временного вывоза допускается подача таможенной декларации на транспортное средство в форме свидетельства, представленного при таможенном декларировании такого временного вывоза.»;</w:t>
      </w:r>
      <w:r>
        <w:br/>
      </w:r>
      <w:r>
        <w:rPr>
          <w:rFonts w:ascii="Times New Roman"/>
          <w:b w:val="false"/>
          <w:i w:val="false"/>
          <w:color w:val="000000"/>
          <w:sz w:val="28"/>
        </w:rPr>
        <w:t>
</w:t>
      </w:r>
      <w:r>
        <w:rPr>
          <w:rFonts w:ascii="Times New Roman"/>
          <w:b w:val="false"/>
          <w:i w:val="false"/>
          <w:color w:val="000000"/>
          <w:sz w:val="28"/>
        </w:rPr>
        <w:t>
      б) в </w:t>
      </w:r>
      <w:r>
        <w:rPr>
          <w:rFonts w:ascii="Times New Roman"/>
          <w:b w:val="false"/>
          <w:i w:val="false"/>
          <w:color w:val="000000"/>
          <w:sz w:val="28"/>
        </w:rPr>
        <w:t>абзаце третьем</w:t>
      </w:r>
      <w:r>
        <w:rPr>
          <w:rFonts w:ascii="Times New Roman"/>
          <w:b w:val="false"/>
          <w:i w:val="false"/>
          <w:color w:val="000000"/>
          <w:sz w:val="28"/>
        </w:rPr>
        <w:t xml:space="preserve"> второе предложение изложить в следующей редакции: «При этом ее подача сопровождается представлением паспорта или иного документа, удостоверяющего личность лица, совершающего таможенные операции, установленного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Инструкции</w:t>
      </w:r>
      <w:r>
        <w:rPr>
          <w:rFonts w:ascii="Times New Roman"/>
          <w:b w:val="false"/>
          <w:i w:val="false"/>
          <w:color w:val="000000"/>
          <w:sz w:val="28"/>
        </w:rPr>
        <w:t xml:space="preserve"> о порядке совершения отдельных таможенных операций в отношении временно ввозимых и временно вывозимых транспортных средств международной перевозки, утвержденной Решением Комиссии Таможенного союза от 18 ноября 2010 г. № 511:</w:t>
      </w:r>
      <w:r>
        <w:br/>
      </w:r>
      <w:r>
        <w:rPr>
          <w:rFonts w:ascii="Times New Roman"/>
          <w:b w:val="false"/>
          <w:i w:val="false"/>
          <w:color w:val="000000"/>
          <w:sz w:val="28"/>
        </w:rPr>
        <w:t>
</w:t>
      </w:r>
      <w:r>
        <w:rPr>
          <w:rFonts w:ascii="Times New Roman"/>
          <w:b w:val="false"/>
          <w:i w:val="false"/>
          <w:color w:val="000000"/>
          <w:sz w:val="28"/>
        </w:rPr>
        <w:t>
      а) в </w:t>
      </w:r>
      <w:r>
        <w:rPr>
          <w:rFonts w:ascii="Times New Roman"/>
          <w:b w:val="false"/>
          <w:i w:val="false"/>
          <w:color w:val="000000"/>
          <w:sz w:val="28"/>
        </w:rPr>
        <w:t>пункте 1</w:t>
      </w:r>
      <w:r>
        <w:rPr>
          <w:rFonts w:ascii="Times New Roman"/>
          <w:b w:val="false"/>
          <w:i w:val="false"/>
          <w:color w:val="000000"/>
          <w:sz w:val="28"/>
        </w:rPr>
        <w:t xml:space="preserve"> слова «пунктом 3 статьи 180» заменить словами «пунктами 3 и 6 статьи 180»;</w:t>
      </w:r>
      <w:r>
        <w:br/>
      </w:r>
      <w:r>
        <w:rPr>
          <w:rFonts w:ascii="Times New Roman"/>
          <w:b w:val="false"/>
          <w:i w:val="false"/>
          <w:color w:val="000000"/>
          <w:sz w:val="28"/>
        </w:rPr>
        <w:t>
</w:t>
      </w:r>
      <w:r>
        <w:rPr>
          <w:rFonts w:ascii="Times New Roman"/>
          <w:b w:val="false"/>
          <w:i w:val="false"/>
          <w:color w:val="000000"/>
          <w:sz w:val="28"/>
        </w:rPr>
        <w:t>
      б) </w:t>
      </w:r>
      <w:r>
        <w:rPr>
          <w:rFonts w:ascii="Times New Roman"/>
          <w:b w:val="false"/>
          <w:i w:val="false"/>
          <w:color w:val="000000"/>
          <w:sz w:val="28"/>
        </w:rPr>
        <w:t>пункт 2</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«В случае временного вывоза с единой таможенной территории Таможенного союза автомобильного ТСМП, зарегистрированного в государстве–члене Таможенного союза, ТДТС по желанию лица, совершающего таможенные операции, может подаваться либо в форме документа о государственной регистрации и национальной принадлежности ТСМП, выданного в установленном порядке (далее – свидетельство), в соответствии с разделом II</w:t>
      </w:r>
      <w:r>
        <w:rPr>
          <w:rFonts w:ascii="Times New Roman"/>
          <w:b w:val="false"/>
          <w:i w:val="false"/>
          <w:color w:val="000000"/>
          <w:vertAlign w:val="superscript"/>
        </w:rPr>
        <w:t>1</w:t>
      </w:r>
      <w:r>
        <w:rPr>
          <w:rFonts w:ascii="Times New Roman"/>
          <w:b w:val="false"/>
          <w:i w:val="false"/>
          <w:color w:val="000000"/>
          <w:sz w:val="28"/>
        </w:rPr>
        <w:t xml:space="preserve"> настоящей Инструкции, либо с использованием стандартных документов перевозчика или по форме ТДТС, утвержденной Решением КТС № 422.»;</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 3</w:t>
      </w:r>
      <w:r>
        <w:rPr>
          <w:rFonts w:ascii="Times New Roman"/>
          <w:b w:val="false"/>
          <w:i w:val="false"/>
          <w:color w:val="000000"/>
          <w:sz w:val="28"/>
        </w:rPr>
        <w:t xml:space="preserve"> дополнить абзацем следующего содержания:</w:t>
      </w:r>
      <w:r>
        <w:br/>
      </w:r>
      <w:r>
        <w:rPr>
          <w:rFonts w:ascii="Times New Roman"/>
          <w:b w:val="false"/>
          <w:i w:val="false"/>
          <w:color w:val="000000"/>
          <w:sz w:val="28"/>
        </w:rPr>
        <w:t>
      «Подача ТДТС в соответствии с настоящей Инструкцией не сопровождается представлением таможенному органу ее электронной копии.»;</w:t>
      </w:r>
      <w:r>
        <w:br/>
      </w:r>
      <w:r>
        <w:rPr>
          <w:rFonts w:ascii="Times New Roman"/>
          <w:b w:val="false"/>
          <w:i w:val="false"/>
          <w:color w:val="000000"/>
          <w:sz w:val="28"/>
        </w:rPr>
        <w:t>
</w:t>
      </w:r>
      <w:r>
        <w:rPr>
          <w:rFonts w:ascii="Times New Roman"/>
          <w:b w:val="false"/>
          <w:i w:val="false"/>
          <w:color w:val="000000"/>
          <w:sz w:val="28"/>
        </w:rPr>
        <w:t>
      г) в </w:t>
      </w:r>
      <w:r>
        <w:rPr>
          <w:rFonts w:ascii="Times New Roman"/>
          <w:b w:val="false"/>
          <w:i w:val="false"/>
          <w:color w:val="000000"/>
          <w:sz w:val="28"/>
        </w:rPr>
        <w:t>абзаце первом</w:t>
      </w:r>
      <w:r>
        <w:rPr>
          <w:rFonts w:ascii="Times New Roman"/>
          <w:b w:val="false"/>
          <w:i w:val="false"/>
          <w:color w:val="000000"/>
          <w:sz w:val="28"/>
        </w:rPr>
        <w:t xml:space="preserve"> пункта 5 слова «декларации на транспортное средство» заменить аббревиатурой «ТДТС»;</w:t>
      </w:r>
      <w:r>
        <w:br/>
      </w:r>
      <w:r>
        <w:rPr>
          <w:rFonts w:ascii="Times New Roman"/>
          <w:b w:val="false"/>
          <w:i w:val="false"/>
          <w:color w:val="000000"/>
          <w:sz w:val="28"/>
        </w:rPr>
        <w:t>
</w:t>
      </w:r>
      <w:r>
        <w:rPr>
          <w:rFonts w:ascii="Times New Roman"/>
          <w:b w:val="false"/>
          <w:i w:val="false"/>
          <w:color w:val="000000"/>
          <w:sz w:val="28"/>
        </w:rPr>
        <w:t>
      д) в </w:t>
      </w:r>
      <w:r>
        <w:rPr>
          <w:rFonts w:ascii="Times New Roman"/>
          <w:b w:val="false"/>
          <w:i w:val="false"/>
          <w:color w:val="000000"/>
          <w:sz w:val="28"/>
        </w:rPr>
        <w:t>абзаце первом</w:t>
      </w:r>
      <w:r>
        <w:rPr>
          <w:rFonts w:ascii="Times New Roman"/>
          <w:b w:val="false"/>
          <w:i w:val="false"/>
          <w:color w:val="000000"/>
          <w:sz w:val="28"/>
        </w:rPr>
        <w:t xml:space="preserve"> пункта 7 слова «документа о государственной регистрации и национальной принадлежности ТСМП, выданного в установленном порядке (далее – свидетельство)» заменить словом «свидетельства»;</w:t>
      </w:r>
      <w:r>
        <w:br/>
      </w:r>
      <w:r>
        <w:rPr>
          <w:rFonts w:ascii="Times New Roman"/>
          <w:b w:val="false"/>
          <w:i w:val="false"/>
          <w:color w:val="000000"/>
          <w:sz w:val="28"/>
        </w:rPr>
        <w:t>
</w:t>
      </w:r>
      <w:r>
        <w:rPr>
          <w:rFonts w:ascii="Times New Roman"/>
          <w:b w:val="false"/>
          <w:i w:val="false"/>
          <w:color w:val="000000"/>
          <w:sz w:val="28"/>
        </w:rPr>
        <w:t>
      е) наименование </w:t>
      </w:r>
      <w:r>
        <w:rPr>
          <w:rFonts w:ascii="Times New Roman"/>
          <w:b w:val="false"/>
          <w:i w:val="false"/>
          <w:color w:val="000000"/>
          <w:sz w:val="28"/>
        </w:rPr>
        <w:t>раздела II</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«II. Совершение таможенных операций при таможенном декларировании временно ввозимых и временно вывозимых ТСМП, за исключением случаев, когда ТДТС подается в форме свидетельства»;</w:t>
      </w:r>
      <w:r>
        <w:br/>
      </w:r>
      <w:r>
        <w:rPr>
          <w:rFonts w:ascii="Times New Roman"/>
          <w:b w:val="false"/>
          <w:i w:val="false"/>
          <w:color w:val="000000"/>
          <w:sz w:val="28"/>
        </w:rPr>
        <w:t>
</w:t>
      </w:r>
      <w:r>
        <w:rPr>
          <w:rFonts w:ascii="Times New Roman"/>
          <w:b w:val="false"/>
          <w:i w:val="false"/>
          <w:color w:val="000000"/>
          <w:sz w:val="28"/>
        </w:rPr>
        <w:t>
      ж) в </w:t>
      </w:r>
      <w:r>
        <w:rPr>
          <w:rFonts w:ascii="Times New Roman"/>
          <w:b w:val="false"/>
          <w:i w:val="false"/>
          <w:color w:val="000000"/>
          <w:sz w:val="28"/>
        </w:rPr>
        <w:t>пункте 11</w:t>
      </w:r>
      <w:r>
        <w:rPr>
          <w:rFonts w:ascii="Times New Roman"/>
          <w:b w:val="false"/>
          <w:i w:val="false"/>
          <w:color w:val="000000"/>
          <w:sz w:val="28"/>
        </w:rPr>
        <w:t xml:space="preserve"> слово «оформленную» заменить словом «представленную»;</w:t>
      </w:r>
      <w:r>
        <w:br/>
      </w:r>
      <w:r>
        <w:rPr>
          <w:rFonts w:ascii="Times New Roman"/>
          <w:b w:val="false"/>
          <w:i w:val="false"/>
          <w:color w:val="000000"/>
          <w:sz w:val="28"/>
        </w:rPr>
        <w:t>
</w:t>
      </w:r>
      <w:r>
        <w:rPr>
          <w:rFonts w:ascii="Times New Roman"/>
          <w:b w:val="false"/>
          <w:i w:val="false"/>
          <w:color w:val="000000"/>
          <w:sz w:val="28"/>
        </w:rPr>
        <w:t>
      з) в </w:t>
      </w:r>
      <w:r>
        <w:rPr>
          <w:rFonts w:ascii="Times New Roman"/>
          <w:b w:val="false"/>
          <w:i w:val="false"/>
          <w:color w:val="000000"/>
          <w:sz w:val="28"/>
        </w:rPr>
        <w:t>подпункте 2</w:t>
      </w:r>
      <w:r>
        <w:rPr>
          <w:rFonts w:ascii="Times New Roman"/>
          <w:b w:val="false"/>
          <w:i w:val="false"/>
          <w:color w:val="000000"/>
          <w:sz w:val="28"/>
        </w:rPr>
        <w:t xml:space="preserve"> пункта 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третьем</w:t>
      </w:r>
      <w:r>
        <w:rPr>
          <w:rFonts w:ascii="Times New Roman"/>
          <w:b w:val="false"/>
          <w:i w:val="false"/>
          <w:color w:val="000000"/>
          <w:sz w:val="28"/>
        </w:rPr>
        <w:t xml:space="preserve"> слово «направляется» заменить словом «возвращается»;</w:t>
      </w:r>
      <w:r>
        <w:br/>
      </w:r>
      <w:r>
        <w:rPr>
          <w:rFonts w:ascii="Times New Roman"/>
          <w:b w:val="false"/>
          <w:i w:val="false"/>
          <w:color w:val="000000"/>
          <w:sz w:val="28"/>
        </w:rPr>
        <w:t>
</w:t>
      </w:r>
      <w:r>
        <w:rPr>
          <w:rFonts w:ascii="Times New Roman"/>
          <w:b w:val="false"/>
          <w:i w:val="false"/>
          <w:color w:val="000000"/>
          <w:sz w:val="28"/>
        </w:rPr>
        <w:t>
      и) наименование </w:t>
      </w:r>
      <w:r>
        <w:rPr>
          <w:rFonts w:ascii="Times New Roman"/>
          <w:b w:val="false"/>
          <w:i w:val="false"/>
          <w:color w:val="000000"/>
          <w:sz w:val="28"/>
        </w:rPr>
        <w:t>раздела II</w:t>
      </w:r>
      <w:r>
        <w:rPr>
          <w:rFonts w:ascii="Times New Roman"/>
          <w:b w:val="false"/>
          <w:i w:val="false"/>
          <w:color w:val="000000"/>
          <w:vertAlign w:val="superscript"/>
        </w:rPr>
        <w:t>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«II</w:t>
      </w:r>
      <w:r>
        <w:rPr>
          <w:rFonts w:ascii="Times New Roman"/>
          <w:b w:val="false"/>
          <w:i w:val="false"/>
          <w:color w:val="000000"/>
          <w:vertAlign w:val="superscript"/>
        </w:rPr>
        <w:t>1</w:t>
      </w:r>
      <w:r>
        <w:rPr>
          <w:rFonts w:ascii="Times New Roman"/>
          <w:b w:val="false"/>
          <w:i w:val="false"/>
          <w:color w:val="000000"/>
          <w:sz w:val="28"/>
        </w:rPr>
        <w:t>. Совершение таможенных операций при таможенном декларировании временно вывозимых автомобильных ТСМП, зарегистрированных в государствах–членах Таможенного союза, а также при завершении временного вывоза таких ТСМП в случаях, когда ТДТС подается в форме свидетельства»;</w:t>
      </w:r>
      <w:r>
        <w:br/>
      </w:r>
      <w:r>
        <w:rPr>
          <w:rFonts w:ascii="Times New Roman"/>
          <w:b w:val="false"/>
          <w:i w:val="false"/>
          <w:color w:val="000000"/>
          <w:sz w:val="28"/>
        </w:rPr>
        <w:t>
</w:t>
      </w:r>
      <w:r>
        <w:rPr>
          <w:rFonts w:ascii="Times New Roman"/>
          <w:b w:val="false"/>
          <w:i w:val="false"/>
          <w:color w:val="000000"/>
          <w:sz w:val="28"/>
        </w:rPr>
        <w:t>
      к) </w:t>
      </w:r>
      <w:r>
        <w:rPr>
          <w:rFonts w:ascii="Times New Roman"/>
          <w:b w:val="false"/>
          <w:i w:val="false"/>
          <w:color w:val="000000"/>
          <w:sz w:val="28"/>
        </w:rPr>
        <w:t>пункт 16</w:t>
      </w:r>
      <w:r>
        <w:rPr>
          <w:rFonts w:ascii="Times New Roman"/>
          <w:b w:val="false"/>
          <w:i w:val="false"/>
          <w:color w:val="000000"/>
          <w:vertAlign w:val="superscript"/>
        </w:rPr>
        <w:t>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w:t>
      </w:r>
      <w:r>
        <w:rPr>
          <w:rFonts w:ascii="Times New Roman"/>
          <w:b w:val="false"/>
          <w:i w:val="false"/>
          <w:color w:val="000000"/>
          <w:vertAlign w:val="superscript"/>
        </w:rPr>
        <w:t>1</w:t>
      </w:r>
      <w:r>
        <w:rPr>
          <w:rFonts w:ascii="Times New Roman"/>
          <w:b w:val="false"/>
          <w:i w:val="false"/>
          <w:color w:val="000000"/>
          <w:sz w:val="28"/>
        </w:rPr>
        <w:t>. В случае временного вывоза автомобильных ТСМП, зарегистрированных в государствах–членах Таможенного союза, и подачи ТДТС в форме свидетельства такая подача сопровождается представлением паспорта или иного документа, удостоверяющего личность лица, совершающего таможенные операции, установленного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л) в </w:t>
      </w:r>
      <w:r>
        <w:rPr>
          <w:rFonts w:ascii="Times New Roman"/>
          <w:b w:val="false"/>
          <w:i w:val="false"/>
          <w:color w:val="000000"/>
          <w:sz w:val="28"/>
        </w:rPr>
        <w:t>пункте 16</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в абзаце первом:</w:t>
      </w:r>
      <w:r>
        <w:br/>
      </w:r>
      <w:r>
        <w:rPr>
          <w:rFonts w:ascii="Times New Roman"/>
          <w:b w:val="false"/>
          <w:i w:val="false"/>
          <w:color w:val="000000"/>
          <w:sz w:val="28"/>
        </w:rPr>
        <w:t>
</w:t>
      </w:r>
      <w:r>
        <w:rPr>
          <w:rFonts w:ascii="Times New Roman"/>
          <w:b w:val="false"/>
          <w:i w:val="false"/>
          <w:color w:val="000000"/>
          <w:sz w:val="28"/>
        </w:rPr>
        <w:t>
      слово «порожних» исключить;</w:t>
      </w:r>
      <w:r>
        <w:br/>
      </w:r>
      <w:r>
        <w:rPr>
          <w:rFonts w:ascii="Times New Roman"/>
          <w:b w:val="false"/>
          <w:i w:val="false"/>
          <w:color w:val="000000"/>
          <w:sz w:val="28"/>
        </w:rPr>
        <w:t>
</w:t>
      </w:r>
      <w:r>
        <w:rPr>
          <w:rFonts w:ascii="Times New Roman"/>
          <w:b w:val="false"/>
          <w:i w:val="false"/>
          <w:color w:val="000000"/>
          <w:sz w:val="28"/>
        </w:rPr>
        <w:t>
      слова «временно вывозимых в соответствии с пунктом 1 статьи 345 Таможенного кодекса Таможенного союза» заменить словами «зарегистрированных в государствах–членах Таможенного союза»;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абзац второй</w:t>
      </w:r>
      <w:r>
        <w:rPr>
          <w:rFonts w:ascii="Times New Roman"/>
          <w:b w:val="false"/>
          <w:i w:val="false"/>
          <w:color w:val="000000"/>
          <w:sz w:val="28"/>
        </w:rPr>
        <w:t xml:space="preserve"> после слова «проверка» дополнить словами «на основе системы анализа и управления рисками»;</w:t>
      </w:r>
      <w:r>
        <w:br/>
      </w:r>
      <w:r>
        <w:rPr>
          <w:rFonts w:ascii="Times New Roman"/>
          <w:b w:val="false"/>
          <w:i w:val="false"/>
          <w:color w:val="000000"/>
          <w:sz w:val="28"/>
        </w:rPr>
        <w:t>
</w:t>
      </w:r>
      <w:r>
        <w:rPr>
          <w:rFonts w:ascii="Times New Roman"/>
          <w:b w:val="false"/>
          <w:i w:val="false"/>
          <w:color w:val="000000"/>
          <w:sz w:val="28"/>
        </w:rPr>
        <w:t>
      м) в </w:t>
      </w:r>
      <w:r>
        <w:rPr>
          <w:rFonts w:ascii="Times New Roman"/>
          <w:b w:val="false"/>
          <w:i w:val="false"/>
          <w:color w:val="000000"/>
          <w:sz w:val="28"/>
        </w:rPr>
        <w:t>пункте 16</w:t>
      </w:r>
      <w:r>
        <w:rPr>
          <w:rFonts w:ascii="Times New Roman"/>
          <w:b w:val="false"/>
          <w:i w:val="false"/>
          <w:color w:val="000000"/>
          <w:vertAlign w:val="superscript"/>
        </w:rPr>
        <w:t>3</w:t>
      </w:r>
      <w:r>
        <w:rPr>
          <w:rFonts w:ascii="Times New Roman"/>
          <w:b w:val="false"/>
          <w:i w:val="false"/>
          <w:color w:val="000000"/>
          <w:sz w:val="28"/>
        </w:rPr>
        <w:t xml:space="preserve"> слова «таможенной декларации на транспортное средство» заменить аббревиатурой «ТДТС», слова «такого временного вывоза» заменить словами «такого временно вывозимого автомобильного ТСМП, сопровождаемая представлением паспорта или иного документа, удостоверяющего личность лица, совершающего таможенные операции, установленного законодательством государств–членов Таможенного союза»;</w:t>
      </w:r>
      <w:r>
        <w:br/>
      </w:r>
      <w:r>
        <w:rPr>
          <w:rFonts w:ascii="Times New Roman"/>
          <w:b w:val="false"/>
          <w:i w:val="false"/>
          <w:color w:val="000000"/>
          <w:sz w:val="28"/>
        </w:rPr>
        <w:t>
</w:t>
      </w:r>
      <w:r>
        <w:rPr>
          <w:rFonts w:ascii="Times New Roman"/>
          <w:b w:val="false"/>
          <w:i w:val="false"/>
          <w:color w:val="000000"/>
          <w:sz w:val="28"/>
        </w:rPr>
        <w:t>
      н) дополнить пунктом 16</w:t>
      </w:r>
      <w:r>
        <w:rPr>
          <w:rFonts w:ascii="Times New Roman"/>
          <w:b w:val="false"/>
          <w:i w:val="false"/>
          <w:color w:val="000000"/>
          <w:vertAlign w:val="superscript"/>
        </w:rPr>
        <w:t>4</w:t>
      </w:r>
      <w:r>
        <w:rPr>
          <w:rFonts w:ascii="Times New Roman"/>
          <w:b w:val="false"/>
          <w:i w:val="false"/>
          <w:color w:val="000000"/>
          <w:sz w:val="28"/>
        </w:rPr>
        <w:t xml:space="preserve"> следующего содержания:</w:t>
      </w:r>
      <w:r>
        <w:br/>
      </w:r>
      <w:r>
        <w:rPr>
          <w:rFonts w:ascii="Times New Roman"/>
          <w:b w:val="false"/>
          <w:i w:val="false"/>
          <w:color w:val="000000"/>
          <w:sz w:val="28"/>
        </w:rPr>
        <w:t>
      «16</w:t>
      </w:r>
      <w:r>
        <w:rPr>
          <w:rFonts w:ascii="Times New Roman"/>
          <w:b w:val="false"/>
          <w:i w:val="false"/>
          <w:color w:val="000000"/>
          <w:vertAlign w:val="superscript"/>
        </w:rPr>
        <w:t>4</w:t>
      </w:r>
      <w:r>
        <w:rPr>
          <w:rFonts w:ascii="Times New Roman"/>
          <w:b w:val="false"/>
          <w:i w:val="false"/>
          <w:color w:val="000000"/>
          <w:sz w:val="28"/>
        </w:rPr>
        <w:t>. В случае если временный вывоз ТСМП, указанного в пункте 16</w:t>
      </w:r>
      <w:r>
        <w:rPr>
          <w:rFonts w:ascii="Times New Roman"/>
          <w:b w:val="false"/>
          <w:i w:val="false"/>
          <w:color w:val="000000"/>
          <w:vertAlign w:val="superscript"/>
        </w:rPr>
        <w:t>1</w:t>
      </w:r>
      <w:r>
        <w:rPr>
          <w:rFonts w:ascii="Times New Roman"/>
          <w:b w:val="false"/>
          <w:i w:val="false"/>
          <w:color w:val="000000"/>
          <w:sz w:val="28"/>
        </w:rPr>
        <w:t xml:space="preserve"> настоящей Инструкции, завершается помещением такого ТСМП под таможенную процедуру в соответствии с пунктом 1 статьи 348 Таможенного кодекса Таможенного союза, таможенный орган, выпустивший такое ТСМП в соответствии с таможенной процедурой, регистрирует завершение такого временного вывоза в журнале, форма которого устанавливается органом государства–члена Таможенного союза, уполномоченным в сфере таможенного дела, в том числе с использованием информационных систем и информационных технологий.»;</w:t>
      </w:r>
      <w:r>
        <w:br/>
      </w:r>
      <w:r>
        <w:rPr>
          <w:rFonts w:ascii="Times New Roman"/>
          <w:b w:val="false"/>
          <w:i w:val="false"/>
          <w:color w:val="000000"/>
          <w:sz w:val="28"/>
        </w:rPr>
        <w:t>
</w:t>
      </w:r>
      <w:r>
        <w:rPr>
          <w:rFonts w:ascii="Times New Roman"/>
          <w:b w:val="false"/>
          <w:i w:val="false"/>
          <w:color w:val="000000"/>
          <w:sz w:val="28"/>
        </w:rPr>
        <w:t>
      о) наименование </w:t>
      </w:r>
      <w:r>
        <w:rPr>
          <w:rFonts w:ascii="Times New Roman"/>
          <w:b w:val="false"/>
          <w:i w:val="false"/>
          <w:color w:val="000000"/>
          <w:sz w:val="28"/>
        </w:rPr>
        <w:t>раздела IV</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«IV. Совершение таможенных операций при завершении временного ввоза или временного вывоза ТСМП, за исключением случаев, когда ТДТС подается в форме свидетельства»;</w:t>
      </w:r>
      <w:r>
        <w:br/>
      </w:r>
      <w:r>
        <w:rPr>
          <w:rFonts w:ascii="Times New Roman"/>
          <w:b w:val="false"/>
          <w:i w:val="false"/>
          <w:color w:val="000000"/>
          <w:sz w:val="28"/>
        </w:rPr>
        <w:t>
</w:t>
      </w:r>
      <w:r>
        <w:rPr>
          <w:rFonts w:ascii="Times New Roman"/>
          <w:b w:val="false"/>
          <w:i w:val="false"/>
          <w:color w:val="000000"/>
          <w:sz w:val="28"/>
        </w:rPr>
        <w:t>
      п) в </w:t>
      </w:r>
      <w:r>
        <w:rPr>
          <w:rFonts w:ascii="Times New Roman"/>
          <w:b w:val="false"/>
          <w:i w:val="false"/>
          <w:color w:val="000000"/>
          <w:sz w:val="28"/>
        </w:rPr>
        <w:t>пункте 28</w:t>
      </w:r>
      <w:r>
        <w:rPr>
          <w:rFonts w:ascii="Times New Roman"/>
          <w:b w:val="false"/>
          <w:i w:val="false"/>
          <w:color w:val="000000"/>
          <w:sz w:val="28"/>
        </w:rPr>
        <w:t>:</w:t>
      </w:r>
      <w:r>
        <w:br/>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 xml:space="preserve"> слово «уполномоченного» заменить словом «уполномоченным»;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абзаце третьем</w:t>
      </w:r>
      <w:r>
        <w:rPr>
          <w:rFonts w:ascii="Times New Roman"/>
          <w:b w:val="false"/>
          <w:i w:val="false"/>
          <w:color w:val="000000"/>
          <w:sz w:val="28"/>
        </w:rPr>
        <w:t xml:space="preserve"> подпункта 3 слова «от 14 октября 2010 года» исключить;</w:t>
      </w:r>
      <w:r>
        <w:br/>
      </w:r>
      <w:r>
        <w:rPr>
          <w:rFonts w:ascii="Times New Roman"/>
          <w:b w:val="false"/>
          <w:i w:val="false"/>
          <w:color w:val="000000"/>
          <w:sz w:val="28"/>
        </w:rPr>
        <w:t>
</w:t>
      </w:r>
      <w:r>
        <w:rPr>
          <w:rFonts w:ascii="Times New Roman"/>
          <w:b w:val="false"/>
          <w:i w:val="false"/>
          <w:color w:val="000000"/>
          <w:sz w:val="28"/>
        </w:rPr>
        <w:t>
      р) в </w:t>
      </w:r>
      <w:r>
        <w:rPr>
          <w:rFonts w:ascii="Times New Roman"/>
          <w:b w:val="false"/>
          <w:i w:val="false"/>
          <w:color w:val="000000"/>
          <w:sz w:val="28"/>
        </w:rPr>
        <w:t>пункте 29</w:t>
      </w:r>
      <w:r>
        <w:rPr>
          <w:rFonts w:ascii="Times New Roman"/>
          <w:b w:val="false"/>
          <w:i w:val="false"/>
          <w:color w:val="000000"/>
          <w:sz w:val="28"/>
        </w:rPr>
        <w:t xml:space="preserve"> слово «уполномоченного» заменить словом «уполномоченным».</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