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d21d" w14:textId="068d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перемещении служебного и гражданского оружия между государствами – членами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6 марта 2014 года № 33</w:t>
      </w:r>
    </w:p>
    <w:p>
      <w:pPr>
        <w:spacing w:after="0"/>
        <w:ind w:left="0"/>
        <w:jc w:val="both"/>
      </w:pPr>
      <w:bookmarkStart w:name="z1" w:id="0"/>
      <w:r>
        <w:rPr>
          <w:rFonts w:ascii="Times New Roman"/>
          <w:b w:val="false"/>
          <w:i w:val="false"/>
          <w:color w:val="000000"/>
          <w:sz w:val="28"/>
        </w:rPr>
        <w:t>
      В соответствии с Договором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перемещении служебного и гражданского оружия между государствами – членами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провести до 1 июня 2014 г. внутригосударственное согласование проекта Соглашения, указанного в пункте 1 настоящего Решения, и проинформировать Евразийскую экономическую комиссию о его результатах.</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перемещении служебного и гражданского оружия</w:t>
      </w:r>
      <w:r>
        <w:br/>
      </w:r>
      <w:r>
        <w:rPr>
          <w:rFonts w:ascii="Times New Roman"/>
          <w:b/>
          <w:i w:val="false"/>
          <w:color w:val="000000"/>
        </w:rPr>
        <w:t>
между государствами – членами Таможенного союза и</w:t>
      </w:r>
      <w:r>
        <w:br/>
      </w:r>
      <w:r>
        <w:rPr>
          <w:rFonts w:ascii="Times New Roman"/>
          <w:b/>
          <w:i w:val="false"/>
          <w:color w:val="000000"/>
        </w:rPr>
        <w:t>
Единого экономического пространства</w:t>
      </w:r>
    </w:p>
    <w:bookmarkEnd w:id="2"/>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Евразийской экономической комиссии от 18 ноября 2011 года,</w:t>
      </w:r>
      <w:r>
        <w:br/>
      </w:r>
      <w:r>
        <w:rPr>
          <w:rFonts w:ascii="Times New Roman"/>
          <w:b w:val="false"/>
          <w:i w:val="false"/>
          <w:color w:val="000000"/>
          <w:sz w:val="28"/>
        </w:rPr>
        <w:t>
      в целях обеспечения общественной безопасности и национальных интересов своих государств,</w:t>
      </w:r>
      <w:r>
        <w:br/>
      </w:r>
      <w:r>
        <w:rPr>
          <w:rFonts w:ascii="Times New Roman"/>
          <w:b w:val="false"/>
          <w:i w:val="false"/>
          <w:color w:val="000000"/>
          <w:sz w:val="28"/>
        </w:rPr>
        <w:t>
      желая содействовать развитию сбалансированных взаимовыгодных отношений в различных областях сотрудничества,</w:t>
      </w:r>
      <w:r>
        <w:br/>
      </w:r>
      <w:r>
        <w:rPr>
          <w:rFonts w:ascii="Times New Roman"/>
          <w:b w:val="false"/>
          <w:i w:val="false"/>
          <w:color w:val="000000"/>
          <w:sz w:val="28"/>
        </w:rPr>
        <w:t>
      стремясь создать благоприятные условия для эффективного функционирования Таможенного союза и Единого экономического пространства,</w:t>
      </w:r>
      <w:r>
        <w:br/>
      </w:r>
      <w:r>
        <w:rPr>
          <w:rFonts w:ascii="Times New Roman"/>
          <w:b w:val="false"/>
          <w:i w:val="false"/>
          <w:color w:val="000000"/>
          <w:sz w:val="28"/>
        </w:rPr>
        <w:t>
      согласились о нижеследующем:</w:t>
      </w:r>
    </w:p>
    <w:bookmarkStart w:name="z7" w:id="3"/>
    <w:p>
      <w:pPr>
        <w:spacing w:after="0"/>
        <w:ind w:left="0"/>
        <w:jc w:val="both"/>
      </w:pPr>
      <w:r>
        <w:rPr>
          <w:rFonts w:ascii="Times New Roman"/>
          <w:b w:val="false"/>
          <w:i w:val="false"/>
          <w:color w:val="000000"/>
          <w:sz w:val="28"/>
        </w:rPr>
        <w:t>
Статья 1</w:t>
      </w:r>
    </w:p>
    <w:bookmarkEnd w:id="3"/>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«внутренний транзит» – ввоз (вывоз) служебного и гражданского оружия на территорию государства одной Стороны с территории государства другой Стороны через территорию государства третьей Стороны, а также ввоз (вывоз) служебного и (или) гражданского оружия с части территории государства одной Стороны на другую часть его территории через территорию государства другой Стороны;</w:t>
      </w:r>
      <w:r>
        <w:br/>
      </w:r>
      <w:r>
        <w:rPr>
          <w:rFonts w:ascii="Times New Roman"/>
          <w:b w:val="false"/>
          <w:i w:val="false"/>
          <w:color w:val="000000"/>
          <w:sz w:val="28"/>
        </w:rPr>
        <w:t>
      «заявитель» – юридическое лицо или физическое лицо, в том числе зарегистрированное в качестве индивидуального предпринимателя, обратившиеся с заявлением о получении разрешительного документа на перемещение (включая внутренний транзит) служебного и гражданского оружия;</w:t>
      </w:r>
      <w:r>
        <w:br/>
      </w:r>
      <w:r>
        <w:rPr>
          <w:rFonts w:ascii="Times New Roman"/>
          <w:b w:val="false"/>
          <w:i w:val="false"/>
          <w:color w:val="000000"/>
          <w:sz w:val="28"/>
        </w:rPr>
        <w:t>
      «компетентный орган» – орган государства Стороны, уполномоченный на выдачу разрешительных документов на перемещение (включая внутренний транзит) служебного и (или) гражданского оружия в соответствии с законодательством этого государства;</w:t>
      </w:r>
      <w:r>
        <w:br/>
      </w:r>
      <w:r>
        <w:rPr>
          <w:rFonts w:ascii="Times New Roman"/>
          <w:b w:val="false"/>
          <w:i w:val="false"/>
          <w:color w:val="000000"/>
          <w:sz w:val="28"/>
        </w:rPr>
        <w:t>
      «перемещение» – ввоз (вывоз) служебного и (или) гражданского оружия на территорию государства одной Стороны с территории государства другой Стороны;</w:t>
      </w:r>
      <w:r>
        <w:br/>
      </w:r>
      <w:r>
        <w:rPr>
          <w:rFonts w:ascii="Times New Roman"/>
          <w:b w:val="false"/>
          <w:i w:val="false"/>
          <w:color w:val="000000"/>
          <w:sz w:val="28"/>
        </w:rPr>
        <w:t>
      «разрешительный документ» – документ, подтверждающий право на перемещение и внутренний транзит служебного и (или) гражданского оружия, выдаваемый компетентным органом государства Стороны в соответствии с законодательством этого государства по единой форме, утверждаемой решением Коллегии Евразийской экономической комиссии;</w:t>
      </w:r>
      <w:r>
        <w:br/>
      </w:r>
      <w:r>
        <w:rPr>
          <w:rFonts w:ascii="Times New Roman"/>
          <w:b w:val="false"/>
          <w:i w:val="false"/>
          <w:color w:val="000000"/>
          <w:sz w:val="28"/>
        </w:rPr>
        <w:t>
      «служебное и (или) гражданское оружие» – служебное и (или) гражданское оружие, его основные (составные) части и патроны к нему, а также оружие, имеющее культурную ценность в соответствии с законодательством государств Сторон, указанные в разделах 1.6 и 2.22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 находящиеся на регистрационном учете в одном из государств Сторон.</w:t>
      </w:r>
    </w:p>
    <w:bookmarkStart w:name="z8" w:id="4"/>
    <w:p>
      <w:pPr>
        <w:spacing w:after="0"/>
        <w:ind w:left="0"/>
        <w:jc w:val="both"/>
      </w:pPr>
      <w:r>
        <w:rPr>
          <w:rFonts w:ascii="Times New Roman"/>
          <w:b w:val="false"/>
          <w:i w:val="false"/>
          <w:color w:val="000000"/>
          <w:sz w:val="28"/>
        </w:rPr>
        <w:t>
Статья 2</w:t>
      </w:r>
    </w:p>
    <w:bookmarkEnd w:id="4"/>
    <w:p>
      <w:pPr>
        <w:spacing w:after="0"/>
        <w:ind w:left="0"/>
        <w:jc w:val="both"/>
      </w:pPr>
      <w:r>
        <w:rPr>
          <w:rFonts w:ascii="Times New Roman"/>
          <w:b w:val="false"/>
          <w:i w:val="false"/>
          <w:color w:val="000000"/>
          <w:sz w:val="28"/>
        </w:rPr>
        <w:t>      Настоящее Соглашение регулирует отношения, связанные с перемещением и внутренним транзитом служебного и гражданского оружия, а также взаимодействие между компетентными органами по вопросам, связанным с контролем за таким перемещением и внутренним транзитом.</w:t>
      </w:r>
      <w:r>
        <w:br/>
      </w:r>
      <w:r>
        <w:rPr>
          <w:rFonts w:ascii="Times New Roman"/>
          <w:b w:val="false"/>
          <w:i w:val="false"/>
          <w:color w:val="000000"/>
          <w:sz w:val="28"/>
        </w:rPr>
        <w:t>
      Настоящее Соглашение не распространяется на отношения, касающиеся экспортного контроля.</w:t>
      </w:r>
    </w:p>
    <w:bookmarkStart w:name="z9" w:id="5"/>
    <w:p>
      <w:pPr>
        <w:spacing w:after="0"/>
        <w:ind w:left="0"/>
        <w:jc w:val="both"/>
      </w:pPr>
      <w:r>
        <w:rPr>
          <w:rFonts w:ascii="Times New Roman"/>
          <w:b w:val="false"/>
          <w:i w:val="false"/>
          <w:color w:val="000000"/>
          <w:sz w:val="28"/>
        </w:rPr>
        <w:t>
Статья 3</w:t>
      </w:r>
    </w:p>
    <w:bookmarkEnd w:id="5"/>
    <w:p>
      <w:pPr>
        <w:spacing w:after="0"/>
        <w:ind w:left="0"/>
        <w:jc w:val="both"/>
      </w:pPr>
      <w:r>
        <w:rPr>
          <w:rFonts w:ascii="Times New Roman"/>
          <w:b w:val="false"/>
          <w:i w:val="false"/>
          <w:color w:val="000000"/>
          <w:sz w:val="28"/>
        </w:rPr>
        <w:t>      Действие настоящего Соглашения распространяется на:</w:t>
      </w:r>
      <w:r>
        <w:br/>
      </w:r>
      <w:r>
        <w:rPr>
          <w:rFonts w:ascii="Times New Roman"/>
          <w:b w:val="false"/>
          <w:i w:val="false"/>
          <w:color w:val="000000"/>
          <w:sz w:val="28"/>
        </w:rPr>
        <w:t>
      юридических лиц, осуществляющих перемещение и внутренний транзит служебного и гражданского оружия;</w:t>
      </w:r>
      <w:r>
        <w:br/>
      </w:r>
      <w:r>
        <w:rPr>
          <w:rFonts w:ascii="Times New Roman"/>
          <w:b w:val="false"/>
          <w:i w:val="false"/>
          <w:color w:val="000000"/>
          <w:sz w:val="28"/>
        </w:rPr>
        <w:t>
      физических лиц, зарегистрированных в качестве субъектов предпринимательской деятельности (далее – индивидуальные предприниматели), осуществляющих перемещение и внутренний транзит гражданского оружия в связи с осуществлением ими указанной деятельности, если это предусмотрено законодательством государств Сторон;</w:t>
      </w:r>
      <w:r>
        <w:br/>
      </w:r>
      <w:r>
        <w:rPr>
          <w:rFonts w:ascii="Times New Roman"/>
          <w:b w:val="false"/>
          <w:i w:val="false"/>
          <w:color w:val="000000"/>
          <w:sz w:val="28"/>
        </w:rPr>
        <w:t>
      физических лиц, осуществляющих перемещение и внутренний транзит гражданского оружия для личного пользования.</w:t>
      </w:r>
    </w:p>
    <w:bookmarkStart w:name="z10" w:id="6"/>
    <w:p>
      <w:pPr>
        <w:spacing w:after="0"/>
        <w:ind w:left="0"/>
        <w:jc w:val="both"/>
      </w:pPr>
      <w:r>
        <w:rPr>
          <w:rFonts w:ascii="Times New Roman"/>
          <w:b w:val="false"/>
          <w:i w:val="false"/>
          <w:color w:val="000000"/>
          <w:sz w:val="28"/>
        </w:rPr>
        <w:t>
Статья 4</w:t>
      </w:r>
    </w:p>
    <w:bookmarkEnd w:id="6"/>
    <w:p>
      <w:pPr>
        <w:spacing w:after="0"/>
        <w:ind w:left="0"/>
        <w:jc w:val="both"/>
      </w:pPr>
      <w:r>
        <w:rPr>
          <w:rFonts w:ascii="Times New Roman"/>
          <w:b w:val="false"/>
          <w:i w:val="false"/>
          <w:color w:val="000000"/>
          <w:sz w:val="28"/>
        </w:rPr>
        <w:t>      Государства Сторон осуществляют государственный контроль за перемещением и внутренним транзитом служебного и (или) гражданского оружия в соответствии с настоящим Соглашением и законодательством государств Сторон.</w:t>
      </w:r>
      <w:r>
        <w:br/>
      </w:r>
      <w:r>
        <w:rPr>
          <w:rFonts w:ascii="Times New Roman"/>
          <w:b w:val="false"/>
          <w:i w:val="false"/>
          <w:color w:val="000000"/>
          <w:sz w:val="28"/>
        </w:rPr>
        <w:t>
      Юридические лица и индивидуальные предприниматели могут осуществлять перемещение и внутренний транзит служебного и (или) гражданского оружия только при наличии в комплекте товаросопроводительных документов оригинала разрешительного документа.</w:t>
      </w:r>
      <w:r>
        <w:br/>
      </w:r>
      <w:r>
        <w:rPr>
          <w:rFonts w:ascii="Times New Roman"/>
          <w:b w:val="false"/>
          <w:i w:val="false"/>
          <w:color w:val="000000"/>
          <w:sz w:val="28"/>
        </w:rPr>
        <w:t>
      Физические лица могут осуществлять перемещение и внутренний транзит гражданского оружия для личного пользования только при наличии оригинала разрешительного документа.</w:t>
      </w:r>
      <w:r>
        <w:br/>
      </w:r>
      <w:r>
        <w:rPr>
          <w:rFonts w:ascii="Times New Roman"/>
          <w:b w:val="false"/>
          <w:i w:val="false"/>
          <w:color w:val="000000"/>
          <w:sz w:val="28"/>
        </w:rPr>
        <w:t>
      Перемещение и внутренний транзит служебного и гражданского оружия без разрешительных документов не допускаются.</w:t>
      </w:r>
      <w:r>
        <w:br/>
      </w:r>
      <w:r>
        <w:rPr>
          <w:rFonts w:ascii="Times New Roman"/>
          <w:b w:val="false"/>
          <w:i w:val="false"/>
          <w:color w:val="000000"/>
          <w:sz w:val="28"/>
        </w:rPr>
        <w:t>
      Разрешительный документ на временный ввоз и (или) вывоз служебного или гражданского оружия также является разрешительным документом на обратный вывоз и (или) ввоз.</w:t>
      </w:r>
    </w:p>
    <w:bookmarkStart w:name="z18" w:id="7"/>
    <w:p>
      <w:pPr>
        <w:spacing w:after="0"/>
        <w:ind w:left="0"/>
        <w:jc w:val="both"/>
      </w:pPr>
      <w:r>
        <w:rPr>
          <w:rFonts w:ascii="Times New Roman"/>
          <w:b w:val="false"/>
          <w:i w:val="false"/>
          <w:color w:val="000000"/>
          <w:sz w:val="28"/>
        </w:rPr>
        <w:t>
Статья 5</w:t>
      </w:r>
    </w:p>
    <w:bookmarkEnd w:id="7"/>
    <w:p>
      <w:pPr>
        <w:spacing w:after="0"/>
        <w:ind w:left="0"/>
        <w:jc w:val="both"/>
      </w:pPr>
      <w:r>
        <w:rPr>
          <w:rFonts w:ascii="Times New Roman"/>
          <w:b w:val="false"/>
          <w:i w:val="false"/>
          <w:color w:val="000000"/>
          <w:sz w:val="28"/>
        </w:rPr>
        <w:t>      Перемещение и внутренний транзит служебного и гражданского оружия могут осуществляться в следующих случаях:</w:t>
      </w:r>
      <w:r>
        <w:br/>
      </w:r>
      <w:r>
        <w:rPr>
          <w:rFonts w:ascii="Times New Roman"/>
          <w:b w:val="false"/>
          <w:i w:val="false"/>
          <w:color w:val="000000"/>
          <w:sz w:val="28"/>
        </w:rPr>
        <w:t>
      а) ввоз на территорию государства одной Стороны с территории государства другой Стороны и вывоз с территории государства одной Стороны на территорию государства другой Стороны служебного и (или) гражданского оружия юридическими лицами для дальнейшей реализации в соответствии с законодательством государства Стороны;</w:t>
      </w:r>
      <w:r>
        <w:br/>
      </w:r>
      <w:r>
        <w:rPr>
          <w:rFonts w:ascii="Times New Roman"/>
          <w:b w:val="false"/>
          <w:i w:val="false"/>
          <w:color w:val="000000"/>
          <w:sz w:val="28"/>
        </w:rPr>
        <w:t>
      б) ввоз на территорию государства одной Стороны с территории государства другой Стороны и вывоз с территории государства одной Стороны на территорию государства другой Стороны физическими лицами гражданского оружия, приобретенного для личного пользования на территории государства Стороны, отличного от гражданства физического лица;</w:t>
      </w:r>
      <w:r>
        <w:br/>
      </w:r>
      <w:r>
        <w:rPr>
          <w:rFonts w:ascii="Times New Roman"/>
          <w:b w:val="false"/>
          <w:i w:val="false"/>
          <w:color w:val="000000"/>
          <w:sz w:val="28"/>
        </w:rPr>
        <w:t>
      в) временный ввоз на территорию государства одной Стороны с территории государства другой Стороны и временный вывоз с территории государства одной Стороны на территорию государства другой Стороны служебного и (или) гражданского оружия юридическими или физическими лицами для использования при участии в спортивных или культурных мероприятиях, если это предусмотрено законодательством государств Сторон;</w:t>
      </w:r>
      <w:r>
        <w:br/>
      </w:r>
      <w:r>
        <w:rPr>
          <w:rFonts w:ascii="Times New Roman"/>
          <w:b w:val="false"/>
          <w:i w:val="false"/>
          <w:color w:val="000000"/>
          <w:sz w:val="28"/>
        </w:rPr>
        <w:t>
      г) временный ввоз на территорию государства одной Стороны с территории государства другой Стороны гражданского оружия физическими лицами для использования при участии в охоте;</w:t>
      </w:r>
      <w:r>
        <w:br/>
      </w:r>
      <w:r>
        <w:rPr>
          <w:rFonts w:ascii="Times New Roman"/>
          <w:b w:val="false"/>
          <w:i w:val="false"/>
          <w:color w:val="000000"/>
          <w:sz w:val="28"/>
        </w:rPr>
        <w:t>
      д) временный ввоз на территорию государства одной Стороны с территории государства другой Стороны и временный вывоз с территории государства одной Стороны на территорию государства другой Стороны гражданского оружия юридическими лицами для использования при участии в охоте;</w:t>
      </w:r>
      <w:r>
        <w:br/>
      </w:r>
      <w:r>
        <w:rPr>
          <w:rFonts w:ascii="Times New Roman"/>
          <w:b w:val="false"/>
          <w:i w:val="false"/>
          <w:color w:val="000000"/>
          <w:sz w:val="28"/>
        </w:rPr>
        <w:t>
      е) временный ввоз на территорию государства одной Стороны с территории государства другой Стороны или временный вывоз с территории государства одной Стороны на территорию государства другой Стороны служебного и (или) гражданского оружия с целью ремонта или замены основных (запасных) частей с последующим вывозом или ввозом этого оружия;</w:t>
      </w:r>
      <w:r>
        <w:br/>
      </w:r>
      <w:r>
        <w:rPr>
          <w:rFonts w:ascii="Times New Roman"/>
          <w:b w:val="false"/>
          <w:i w:val="false"/>
          <w:color w:val="000000"/>
          <w:sz w:val="28"/>
        </w:rPr>
        <w:t>
      ж) вывоз с территории государства одной Стороны на территорию государства другой Стороны гражданского оружия физическими лицами, выезжающими на постоянное место жительства в государство другой Стороны, и ввоз гражданского оружия физическими лицами, въезжающими на постоянное место жительства в государство одной Стороны из государства другой Стороны;</w:t>
      </w:r>
      <w:r>
        <w:br/>
      </w:r>
      <w:r>
        <w:rPr>
          <w:rFonts w:ascii="Times New Roman"/>
          <w:b w:val="false"/>
          <w:i w:val="false"/>
          <w:color w:val="000000"/>
          <w:sz w:val="28"/>
        </w:rPr>
        <w:t>
      з) временный ввоз на территорию государства одной Стороны с территории государства другой Стороны и временный вывоз с территории государства одной Стороны на территорию государства другой Стороны служебного и (или) гражданского оружия юридическими или физическими лицами для экспонирования на выставках;</w:t>
      </w:r>
      <w:r>
        <w:br/>
      </w:r>
      <w:r>
        <w:rPr>
          <w:rFonts w:ascii="Times New Roman"/>
          <w:b w:val="false"/>
          <w:i w:val="false"/>
          <w:color w:val="000000"/>
          <w:sz w:val="28"/>
        </w:rPr>
        <w:t>
      и) временный ввоз на территорию государства одной Стороны с территории государства другой Стороны и временный вывоз с территории государства одной Стороны на территорию государства другой Стороны юридическими и физическими лицами гражданского оружия, имеющего культурную ценность, если это предусмотрено законодательством государств Сторон;</w:t>
      </w:r>
      <w:r>
        <w:br/>
      </w:r>
      <w:r>
        <w:rPr>
          <w:rFonts w:ascii="Times New Roman"/>
          <w:b w:val="false"/>
          <w:i w:val="false"/>
          <w:color w:val="000000"/>
          <w:sz w:val="28"/>
        </w:rPr>
        <w:t>
      к) временный ввоз на территорию государства одной Стороны с территории государства другой Стороны и временный вывоз с территории государства одной Стороны на территорию государства другой Стороны служебного и (или) гражданского оружия для проведения испытаний в целях оценки (подтверждения) соответствия (сертификации, декларирования соответствия, медико-биологических исследований).</w:t>
      </w:r>
    </w:p>
    <w:bookmarkStart w:name="z11" w:id="8"/>
    <w:p>
      <w:pPr>
        <w:spacing w:after="0"/>
        <w:ind w:left="0"/>
        <w:jc w:val="both"/>
      </w:pPr>
      <w:r>
        <w:rPr>
          <w:rFonts w:ascii="Times New Roman"/>
          <w:b w:val="false"/>
          <w:i w:val="false"/>
          <w:color w:val="000000"/>
          <w:sz w:val="28"/>
        </w:rPr>
        <w:t>
Статья 6</w:t>
      </w:r>
    </w:p>
    <w:bookmarkEnd w:id="8"/>
    <w:p>
      <w:pPr>
        <w:spacing w:after="0"/>
        <w:ind w:left="0"/>
        <w:jc w:val="both"/>
      </w:pPr>
      <w:r>
        <w:rPr>
          <w:rFonts w:ascii="Times New Roman"/>
          <w:b w:val="false"/>
          <w:i w:val="false"/>
          <w:color w:val="000000"/>
          <w:sz w:val="28"/>
        </w:rPr>
        <w:t>      Разрешительные документы выдаются заявителю в порядке и сроки, установленные законодательством государств Сторон.</w:t>
      </w:r>
      <w:r>
        <w:br/>
      </w:r>
      <w:r>
        <w:rPr>
          <w:rFonts w:ascii="Times New Roman"/>
          <w:b w:val="false"/>
          <w:i w:val="false"/>
          <w:color w:val="000000"/>
          <w:sz w:val="28"/>
        </w:rPr>
        <w:t>
      Разрешительный документ на вывоз служебного или гражданского оружия (за исключением вывоза физическими лицами принадлежащего им гражданского оружия для использования при участии в охоте) выдается компетентным органом государства Стороны, из которого предполагается вывоз служебного и (или) гражданского оружия, при наличии разрешительного документа на ввоз такого оружия, выданного компетентным органом государства Стороны, в которое предполагается его ввоз.</w:t>
      </w:r>
      <w:r>
        <w:br/>
      </w:r>
      <w:r>
        <w:rPr>
          <w:rFonts w:ascii="Times New Roman"/>
          <w:b w:val="false"/>
          <w:i w:val="false"/>
          <w:color w:val="000000"/>
          <w:sz w:val="28"/>
        </w:rPr>
        <w:t>
      Разрешительный документ на внутренний транзит служебного или гражданского оружия (за исключением внутреннего транзита физическими лицами принадлежащего им гражданского оружия для использования при участии в охоте) выдается компетентным органом государства Стороны внутреннего транзита при наличии разрешительного документа на его ввоз, выданного компетентным органом государства Стороны, в которое предполагается ввоз служебного или гражданского оружия, и разрешительного документа на вывоз служебного или гражданского оружия, выданного компетентным органом государства Стороны, из которого предполагается вывоз этого оружия.</w:t>
      </w:r>
      <w:r>
        <w:br/>
      </w:r>
      <w:r>
        <w:rPr>
          <w:rFonts w:ascii="Times New Roman"/>
          <w:b w:val="false"/>
          <w:i w:val="false"/>
          <w:color w:val="000000"/>
          <w:sz w:val="28"/>
        </w:rPr>
        <w:t>
      Перемещение и внутренний транзит физическими лицами принадлежащего им гражданского оружия для использования при участии в охоте осуществляются на основании разрешительного документа на ввоз такого оружия, выданного компетентным органом государства Стороны, где указанное гражданское оружие будет использоваться для участия в охоте. Разрешительный документ на ввоз гражданского оружия для использования при участии в охоте выдается юридическому лицу принимающей стороны или физическому лицу. Разрешительный документ на вывоз физическими лицами гражданского оружия для использования при участии в охоте не требуется.</w:t>
      </w:r>
      <w:r>
        <w:br/>
      </w:r>
      <w:r>
        <w:rPr>
          <w:rFonts w:ascii="Times New Roman"/>
          <w:b w:val="false"/>
          <w:i w:val="false"/>
          <w:color w:val="000000"/>
          <w:sz w:val="28"/>
        </w:rPr>
        <w:t>
      Разрешительный документ, указанный в абзаце четвертом настоящей статьи, признается компетентными органами государств других Сторон в течение срока его действия и в случае внутреннего транзита является разрешением на внутренний транзит.</w:t>
      </w:r>
      <w:r>
        <w:br/>
      </w:r>
      <w:r>
        <w:rPr>
          <w:rFonts w:ascii="Times New Roman"/>
          <w:b w:val="false"/>
          <w:i w:val="false"/>
          <w:color w:val="000000"/>
          <w:sz w:val="28"/>
        </w:rPr>
        <w:t>
      Физическое лицо заблаговременно (до вывоза гражданского оружия для использования при участии в охоте) письменно информирует о вывозе компетентный орган государства Стороны, из которого предполагается такой вывоз, с приложением копии документа, подтверждающего участие в охоте (договор об оказании услуг или приглашение).</w:t>
      </w:r>
      <w:r>
        <w:br/>
      </w:r>
      <w:r>
        <w:rPr>
          <w:rFonts w:ascii="Times New Roman"/>
          <w:b w:val="false"/>
          <w:i w:val="false"/>
          <w:color w:val="000000"/>
          <w:sz w:val="28"/>
        </w:rPr>
        <w:t>
      Гражданское оружие, вывезенное физическим лицом для использования при участии в охоте, должно быть ввезено в государство Стороны, где указанное гражданское оружие зарегистрировано, до истечения срока действия разрешительного документа на ввоз.</w:t>
      </w:r>
      <w:r>
        <w:br/>
      </w:r>
      <w:r>
        <w:rPr>
          <w:rFonts w:ascii="Times New Roman"/>
          <w:b w:val="false"/>
          <w:i w:val="false"/>
          <w:color w:val="000000"/>
          <w:sz w:val="28"/>
        </w:rPr>
        <w:t>
      Разрешительные документы выдаются заявителю в порядке и сроки, установленные законодательством государств Сторон. Срок выдачи компетентными органами разрешений на ввоз гражданского оружия для использования при участии в охоте не должен превышать 15 календарных дней.</w:t>
      </w:r>
    </w:p>
    <w:bookmarkStart w:name="z12" w:id="9"/>
    <w:p>
      <w:pPr>
        <w:spacing w:after="0"/>
        <w:ind w:left="0"/>
        <w:jc w:val="both"/>
      </w:pPr>
      <w:r>
        <w:rPr>
          <w:rFonts w:ascii="Times New Roman"/>
          <w:b w:val="false"/>
          <w:i w:val="false"/>
          <w:color w:val="000000"/>
          <w:sz w:val="28"/>
        </w:rPr>
        <w:t>
Статья 7</w:t>
      </w:r>
    </w:p>
    <w:bookmarkEnd w:id="9"/>
    <w:p>
      <w:pPr>
        <w:spacing w:after="0"/>
        <w:ind w:left="0"/>
        <w:jc w:val="both"/>
      </w:pPr>
      <w:r>
        <w:rPr>
          <w:rFonts w:ascii="Times New Roman"/>
          <w:b w:val="false"/>
          <w:i w:val="false"/>
          <w:color w:val="000000"/>
          <w:sz w:val="28"/>
        </w:rPr>
        <w:t>      В целях обеспечения перемещения физическими лицами гражданского оружия для использования при участии в охоте Стороны дополнительно договорятся о введении на территории Таможенного союза единого документа на перемещение оружия.</w:t>
      </w:r>
    </w:p>
    <w:bookmarkStart w:name="z13" w:id="10"/>
    <w:p>
      <w:pPr>
        <w:spacing w:after="0"/>
        <w:ind w:left="0"/>
        <w:jc w:val="both"/>
      </w:pPr>
      <w:r>
        <w:rPr>
          <w:rFonts w:ascii="Times New Roman"/>
          <w:b w:val="false"/>
          <w:i w:val="false"/>
          <w:color w:val="000000"/>
          <w:sz w:val="28"/>
        </w:rPr>
        <w:t>
Статья 8</w:t>
      </w:r>
    </w:p>
    <w:bookmarkEnd w:id="10"/>
    <w:p>
      <w:pPr>
        <w:spacing w:after="0"/>
        <w:ind w:left="0"/>
        <w:jc w:val="both"/>
      </w:pPr>
      <w:r>
        <w:rPr>
          <w:rFonts w:ascii="Times New Roman"/>
          <w:b w:val="false"/>
          <w:i w:val="false"/>
          <w:color w:val="000000"/>
          <w:sz w:val="28"/>
        </w:rPr>
        <w:t>      Компетентные органы ежеквартально, не позднее 15-го числа месяца, следующего за отчетным кварталом, направляют по согласованной форме (в том числе по электронным каналам связи) в компетентные органы государств других Сторон информацию о выданных за отчетный период разрешительных документах.</w:t>
      </w:r>
      <w:r>
        <w:br/>
      </w:r>
      <w:r>
        <w:rPr>
          <w:rFonts w:ascii="Times New Roman"/>
          <w:b w:val="false"/>
          <w:i w:val="false"/>
          <w:color w:val="000000"/>
          <w:sz w:val="28"/>
        </w:rPr>
        <w:t>
      Стороны используют информацию, полученную в соответствии с настоящим Соглашением, исключительно в целях исполнения настоящего Соглашения.</w:t>
      </w:r>
    </w:p>
    <w:bookmarkStart w:name="z14" w:id="11"/>
    <w:p>
      <w:pPr>
        <w:spacing w:after="0"/>
        <w:ind w:left="0"/>
        <w:jc w:val="both"/>
      </w:pPr>
      <w:r>
        <w:rPr>
          <w:rFonts w:ascii="Times New Roman"/>
          <w:b w:val="false"/>
          <w:i w:val="false"/>
          <w:color w:val="000000"/>
          <w:sz w:val="28"/>
        </w:rPr>
        <w:t>
Статья 9</w:t>
      </w:r>
    </w:p>
    <w:bookmarkEnd w:id="11"/>
    <w:p>
      <w:pPr>
        <w:spacing w:after="0"/>
        <w:ind w:left="0"/>
        <w:jc w:val="both"/>
      </w:pPr>
      <w:r>
        <w:rPr>
          <w:rFonts w:ascii="Times New Roman"/>
          <w:b w:val="false"/>
          <w:i w:val="false"/>
          <w:color w:val="000000"/>
          <w:sz w:val="28"/>
        </w:rPr>
        <w:t>      Стороны информируют друг друга и Евразийскую экономическую комиссию о компетентных органах своих государств.</w:t>
      </w:r>
      <w:r>
        <w:br/>
      </w:r>
      <w:r>
        <w:rPr>
          <w:rFonts w:ascii="Times New Roman"/>
          <w:b w:val="false"/>
          <w:i w:val="false"/>
          <w:color w:val="000000"/>
          <w:sz w:val="28"/>
        </w:rPr>
        <w:t>
      В случае изменения компетентных органов Стороны в течение 30 дней уведомляют об этом друг друга и Евразийскую экономическую комиссию по дипломатическим каналам.</w:t>
      </w:r>
    </w:p>
    <w:bookmarkStart w:name="z15" w:id="12"/>
    <w:p>
      <w:pPr>
        <w:spacing w:after="0"/>
        <w:ind w:left="0"/>
        <w:jc w:val="both"/>
      </w:pPr>
      <w:r>
        <w:rPr>
          <w:rFonts w:ascii="Times New Roman"/>
          <w:b w:val="false"/>
          <w:i w:val="false"/>
          <w:color w:val="000000"/>
          <w:sz w:val="28"/>
        </w:rPr>
        <w:t>
Статья 10</w:t>
      </w:r>
    </w:p>
    <w:bookmarkEnd w:id="1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Если спор не будет урегулирован сторонами спора путем проведения переговоров и консультаций в течение 6 месяцев с даты поступления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Start w:name="z16" w:id="13"/>
    <w:p>
      <w:pPr>
        <w:spacing w:after="0"/>
        <w:ind w:left="0"/>
        <w:jc w:val="both"/>
      </w:pPr>
      <w:r>
        <w:rPr>
          <w:rFonts w:ascii="Times New Roman"/>
          <w:b w:val="false"/>
          <w:i w:val="false"/>
          <w:color w:val="000000"/>
          <w:sz w:val="28"/>
        </w:rPr>
        <w:t>
Статья 11</w:t>
      </w:r>
    </w:p>
    <w:bookmarkEnd w:id="13"/>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которые оформляются отдельными протоколами.</w:t>
      </w:r>
    </w:p>
    <w:bookmarkStart w:name="z17" w:id="14"/>
    <w:p>
      <w:pPr>
        <w:spacing w:after="0"/>
        <w:ind w:left="0"/>
        <w:jc w:val="both"/>
      </w:pPr>
      <w:r>
        <w:rPr>
          <w:rFonts w:ascii="Times New Roman"/>
          <w:b w:val="false"/>
          <w:i w:val="false"/>
          <w:color w:val="000000"/>
          <w:sz w:val="28"/>
        </w:rPr>
        <w:t>
Статья 12</w:t>
      </w:r>
    </w:p>
    <w:bookmarkEnd w:id="1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____________ «__»_________ 20__ г.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4340"/>
        <w:gridCol w:w="4546"/>
      </w:tblGrid>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