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e2af" w14:textId="2f0e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пространства, утвержденную Решением Коллегии Евразийской экономической комиссии от 25 июня 2013 г. № 144,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30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Методику расчета макроэкономических показателей,</w:t>
      </w:r>
      <w:r>
        <w:br/>
      </w:r>
      <w:r>
        <w:rPr>
          <w:rFonts w:ascii="Times New Roman"/>
          <w:b/>
          <w:i w:val="false"/>
          <w:color w:val="000000"/>
        </w:rPr>
        <w:t>
определяющих устойчивость экономического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абзаца шестого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«внешний долг сектора государственного управления» – 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внешним долговым обязательствам, за исключением взаимосвязанных показателей по консолидируемым позициям;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«внутренний долг сектора государственного управления» – 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внутренним долговым обязательствам, за исключением взаимосвязанных показателей по консолидируемым позициям;»;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абзацы седьмой и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консолидированного бюджета сектора государственного управления» – превышение расходов консолидированного бюджета сектора государственного управления с учетом операций с нефинансовыми активами над его доходами (превышение доходов консолидированного бюджета сектора государственного управления над его расходами с учетом операций с нефинансовыми активами);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«долг сектора государственного управления» – остаток на конкретную дату признанных и непогашенных безусловных внешних и внутренних долговых обязательств сектора государственного управления, за исключением взаимосвязанных показателей по консолидируемым позициям;»;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«консолидированный бюджет сектора государственного управления» – денежный фонд сектора государственного управления, за исключением взаимосвязанных показателей по консолидируемым позициям;»;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после абзаца десятого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«операции с нефинансовыми активами» – операции (приобретение за минусом выбытия), приводящие к изменению запасов нефинансовых активов, включающих в себя основные фонды, запасы материальных оборотных средств, ценности и непроизведенные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«операции с финансовыми активами» – операции (приобретение за минусом выбытия), приводящие к изменению запасов финансовых активов, включающих в себя финансовые требования, монетарное золото и специальные права заимствования (СДР), предоставляемые Международным валютным фондом в порядке распределения;»;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«социальные трансферты» – текущие пособия, выделяемые из фонда социального обеспечения и (или) из бюджета центральных, региональных и местных (муниципальных) органов управления для покрытия нужд населения, возникающих в результате наступления таких событий, как болезнь, отсутствие работы, выход на пенсию или иные семейные обстоятельства;»;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«уровень инфляции (индекс потребительских цен)» – изменение во времени общего уровня цен на потребительские товары и услуги, приобретаемые домашними хозяйствами (населением) для непроизводственного потребления, рассчитываемое как отношение стоимости фиксированного набора потребительских товаров и услуг в ценах текущего периода к его стоимости в ценах предыдущего (базисного) периода;»;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после абзаца пятнадцатого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«фиксированный набор потребительских товаров и услуг» –перечень репрезентативно отобранных товаров и услуг, потребляемых домашними хозяйствами (населением), с определенными количественными соотношениями составляющих его элементов, не меняющимися в течение заданного периода времени;»;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после абзаца восемнадцатого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– акционерное общество «Государственный фонд социального страхования»;».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«Д(П)КБ = ДКБ – РКБ – ОНФА,»;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четвертом аббревиатуру «Д(П)Б» заменить аббревиатурой «Д(П)КБ»;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абзаце пятом аббревиатуру «ДКБ» заменить аббревиатурой «ДКБ»;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абзаце шестом аббревиатуру «РКБ» заменить аббревиатурой «РКБ»;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после абзаца шестого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«ОНФА – операции с нефинансовыми активами консолидированного бюджета сектора государственного управления, измеренные в единицах национальной валюты.»;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«Д(П)КБ (%) = Д(П)КБ / ВВП Ч 100 %,»;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абзаце одиннадцатом слова «Б – дефицит» заменить словами «Д(П)КБ (%) – дефицит».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«ДСГУ = ДЦП + ДРОУ + ДМОУ,»;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четвертом аббревиатуру «ДСГУ» заменить аббревиатурой «ДСГУ»;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абзаце пятом аббревиатуру «ЦП» заменить аббревиатурой «ДЦП»;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абзаце шестом аббревиатуру «ОУР» заменить аббревиатурой «ДРОУ»;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абзаце седьмом аббревиатуру «МУ» заменить аббревиатурой «ДМОУ»;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после абзаца седьмого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«Долг сектора государственного управления состоит из внешнего и внутреннего долга сектора государственного 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«Макроэкономический показатель долга сектора государственного управления в процентах к валовому внутреннему продукту рассчитывается как сумма значений показателей внешнего и внутреннего долга сектора государственного управления в процентах к объему валового внутреннего продукта: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ДСГУ (%) = ДСГУВнешний (%) + ДСГУВнутренний (%),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ДСГУ (%) – долг сектора государственного управления в процентах к валовому внутреннему продукту;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ДСГУВнешний (%) – внешний долг сектора государственного управления в процентах к валовому внутреннему продукту;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ДСГУВнутренний (%) – внутренний долг сектора государственного управления в процентах к валовому внутреннему продукту.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внешнего и внутреннего долга сектора государственного управления в процентах к объему валового внутреннего продукта рассчитываются как сумма отношений номинальных объемов долга, выраженных в иностранной и национальной валютах заимствования, на последний день отчетного периода (финансовый год, квартал) к сумме квартальных объемов валового внутреннего продукта (за 4 предшествующих квартала). При этом часть номинального объема внешнего и внутреннего долга на последний день отчетного периода (финансовый год, квартал), выраженная в иностранной валюте заимствования, делится на сумму квартальных объемов валового внутреннего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4 предшествующих квартала), выраженных в национальной валюте и пересчитанных в иностранную валюту заимствования по среднему квартальному курсу национальной валюты, рассчитанному национальными (центральным) банками государств-членов, а часть номинального объема внешнего и внутреннего долга на последний день отчетного периода (финансовый год, квартал), выраженная в национальной валюте заимствования, делится на сумму квартальных объемов валового внутреннего продукта (за 4 предшествующих квартала), выраженных в национальной валюте.»;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абзац одиннадцатый заменить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государств-членов рассчитывают квартальный и годовой макроэкономический показатель долга сектора государственного управления в процентах к валовому внутреннему продукту в соответствии с настоящей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государства-члена Евразийская экономическая комиссия самостоятельно рассчитывает макроэкономический показатель долга сектора государственного управления в процентах к валовому внутреннему продукту на основе представляемой в соответствии с законодательством этого государства-члена в Евразийскую экономическую комиссию информации о номинальных объемах внешнего и внутреннего долга сектора государственного управления в валютах заимствования на последний день отчетного периода (финансовый год, квартал), квартальных объемах валового внутреннего продукта (за 4 предшествующих квартала), выраженных в национальной валюте, а также среднем квартальном курсе национальной валюты к иностранной валюте заимствования, рассчитанному национальным (центральным) банком этого государства-члена.».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«Показатель уровня инфляции (индекса потребительских цен) в годовом выражении измеряется как процентное отношение стоимости фиксированного набора потребительских товаров и услуг в ценах декабря анализируемого года к его стоимости в ценах декабря предыдущего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после абзаца второго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квартального мониторинга уровня инфляции (индекса потребительских цен) используется показатель, измеренный в годовом выражении как процентное отношение стоимости фиксированного набора потребительских товаров и услуг в ценах последнего месяца квартала текущего года к его стоимости в ценах аналогичного месяца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аналитических целях используется показатель уровня инфляции (индекса потребительских цен) за период с начала года, измеряемый как процентное отношение стоимости фиксированного набора потребительских товаров и услуг в ценах анализируемого месяца к его стоимости в ценах декабря предыдущего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расчете уровня инфляции (индекса потребительских цен) допускаются различия в фиксированном наборе потребительских товаров и услуг, а также в долях (весах) потребления в общем объеме фиксированного набора потребительских товаров и услуг исходя из национальных особенностей потребления товаров и услуг домашними хозяйствами (населением) в государствах-членах.».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«Государства-члены» заменить словами «Уполномоченные органы государств-членов»;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«, а также для всесторонней оценки финансово-экономического состояния государств-членов»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расчета макроэкономических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показателей, определяющих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устойчивость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– 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30)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операций консолидированного бюджета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3"/>
        <w:gridCol w:w="2921"/>
        <w:gridCol w:w="2596"/>
      </w:tblGrid>
      <w:tr>
        <w:trPr>
          <w:trHeight w:val="30" w:hRule="atLeast"/>
        </w:trPr>
        <w:tc>
          <w:tcPr>
            <w:tcW w:w="8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валовому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продукту</w:t>
            </w:r>
          </w:p>
        </w:tc>
      </w:tr>
      <w:tr>
        <w:trPr>
          <w:trHeight w:val="30" w:hRule="atLeast"/>
        </w:trPr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центральных органов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(федеральный (республиканский) бюджет)*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социальные трансферты из них пенсии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7"/>
        <w:gridCol w:w="2917"/>
        <w:gridCol w:w="2596"/>
      </w:tblGrid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региональных органов управления*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местных (муниципальных) органов управления*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фонда социального обеспечения*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взносы (отчисления) на социальные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социальные трансферты из них пенсии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7"/>
        <w:gridCol w:w="2917"/>
        <w:gridCol w:w="2596"/>
      </w:tblGrid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Консолидированный бюджет сектора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за исключением взаимосвязанных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по консолидируемым позициям**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Информация представляется по итогам финансового года. Расчет осуществляется в соответствии с Руководством по статистике государственных финансов (Международный валютный фонд, 2001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Информация представляется ежеквартально и по итогам финансового года. Расчет осуществляется в соответствии с Руководством по статистике государственных финансов (Международный валютный фонд, 2001 год).».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«иностранным государствам» подраздела 3214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подразделом 323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«323 Монетарное золото и СДР».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расчета макроэкономических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показателей, определяющих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устойчивость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– 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30)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долга сектора государственного 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7"/>
        <w:gridCol w:w="2583"/>
        <w:gridCol w:w="3750"/>
      </w:tblGrid>
      <w:tr>
        <w:trPr>
          <w:trHeight w:val="30" w:hRule="atLeast"/>
        </w:trPr>
        <w:tc>
          <w:tcPr>
            <w:tcW w:w="7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валовому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продукту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центрального правительства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региональных органов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2"/>
        <w:gridCol w:w="2581"/>
        <w:gridCol w:w="3747"/>
      </w:tblGrid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местных (муниципальных)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сектора государственного управления,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взаимосвязанных показателей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консолидируемым позициям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долговые обязательства*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Информация представляется в аналитических целях.».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