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2690" w14:textId="dd62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редкоземельных металлов, скандия и иттрия в чистом виде, в смесях или сплавах"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февраля 2014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о Евразийской экономической комиссии от 18 ноября 2011 года и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18 ноября 2011 г. № 1, и на основании статьи 8 Соглашения о едином таможенно-тарифном регулировании от 25 января 2008 года и Договора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редкоземельных металлов, скандия и иттрия в чистом виде, в смесях или сплавах»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ставок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редкоземельных металлов, скандия и иттрия в чистом виде,</w:t>
      </w:r>
      <w:r>
        <w:br/>
      </w:r>
      <w:r>
        <w:rPr>
          <w:rFonts w:ascii="Times New Roman"/>
          <w:b/>
          <w:i w:val="false"/>
          <w:color w:val="000000"/>
        </w:rPr>
        <w:t>
в смесях или сплавах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о Евразийской экономической комиссии от 18 ноября 2011 года и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18 ноября 2011 г. № 1, и на основании статьи 8 Соглашения о едином таможенно-тарифном регулировании от 25 января 2008 года и Договора о функционировании Таможенного союза в рамках многосторонней торговой системы от 19 мая 2011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в отношении редкоземельных металлов, скандия и иттрия в чистом виде, в смесях или сплавах, классифицируемых кодами 2805 30 100 0 и 2805 30 900 0 ТН ВЭД ТС, в размере 0 процентов от таможенной стоимости с 1 мая 2014 г. по 30 апреля 2015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2805 30 100 0 и 2805 30 900 0 ТН ВЭД ТС в графе четвертой дополнить ссылкой на примечание «34С)»;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34С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«34С) Ставка ввозной таможенной пошлины в размере 0 (ноль) % от таможенной стоимости применяется с 01.05.2014 по 30.04.2015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73"/>
        <w:gridCol w:w="4133"/>
      </w:tblGrid>
      <w:tr>
        <w:trPr>
          <w:trHeight w:val="42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