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2690" w14:textId="dd62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редкоземельных металлов, скандия и иттрия в чистом виде, в смесях или сплавах"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 на основании статьи 8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редкоземельных металлов, скандия и иттрия в чистом виде, в смесях или сплавах»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ставок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редкоземельных металлов, скандия и иттрия в чистом виде,</w:t>
      </w:r>
      <w:r>
        <w:br/>
      </w:r>
      <w:r>
        <w:rPr>
          <w:rFonts w:ascii="Times New Roman"/>
          <w:b/>
          <w:i w:val="false"/>
          <w:color w:val="000000"/>
        </w:rPr>
        <w:t>
в смесях или сплавах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 на основании статьи 8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редкоземельных металлов, скандия и иттрия в чистом виде, в смесях или сплавах, классифицируемых кодами 2805 30 100 0 и 2805 30 900 0 ТН ВЭД ТС, в размере 0 процентов от таможенной стоимости с 1 мая 2014 г. по 30 апреля 2015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2805 30 100 0 и 2805 30 900 0 ТН ВЭД ТС в графе четвертой дополнить ссылкой на примечание «34С)»;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34С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«34С) Ставка ввозной таможенной пошлины в размере 0 (ноль) % от таможенной стоимости применяется с 01.05.2014 по 30.04.2015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4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