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95948" w14:textId="15959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Комиссии Таможенного союза от 7 апреля 2011 г. №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11 февраля 2014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607 «О формах Единых ветеринарных сертификатов на ввозимые на таможенную территорию Таможенного союза Республики Беларусь, Республики Казахстан и Российской Федерации подконтрольные товары из третьих стран» изменение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 1 октября 2014 г. для ввоза на таможенную территорию Таможенного союза подконтрольных товаров применяются как ветеринарные сертификаты,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г. № 607, так и ветеринарный сертификат, предусмотренный настоящим Решением.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Коллегии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 Христенко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Коллегии Евразийской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2014 г. № 19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ИЗМЕНЕНИЕ,</w:t>
      </w:r>
      <w:r>
        <w:br/>
      </w:r>
      <w:r>
        <w:rPr>
          <w:rFonts w:ascii="Times New Roman"/>
          <w:b/>
          <w:i w:val="false"/>
          <w:color w:val="000000"/>
        </w:rPr>
        <w:t>
вносимое в Решение Комиссии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от 7 апреля 2011 г. № 607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Ветеринарный сертификат на экспортируемые на таможенную территорию Таможенного союза Республики Беларусь, Республики Казахстан и Российской Федерации кормовые добавки для кошек и собак, а также готовые корма для кошек и собак, прошедшие термическую обработку (</w:t>
      </w:r>
      <w:r>
        <w:rPr>
          <w:rFonts w:ascii="Times New Roman"/>
          <w:b w:val="false"/>
          <w:i w:val="false"/>
          <w:color w:val="000000"/>
          <w:sz w:val="28"/>
        </w:rPr>
        <w:t>Форма № 36</w:t>
      </w:r>
      <w:r>
        <w:rPr>
          <w:rFonts w:ascii="Times New Roman"/>
          <w:b w:val="false"/>
          <w:i w:val="false"/>
          <w:color w:val="000000"/>
          <w:sz w:val="28"/>
        </w:rPr>
        <w:t>),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«Форма № 36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(в редакции Решения Коллегии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2014 г. № 19)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513"/>
        <w:gridCol w:w="2213"/>
        <w:gridCol w:w="1130"/>
        <w:gridCol w:w="1065"/>
        <w:gridCol w:w="3173"/>
        <w:gridCol w:w="225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1.5. Сертификат № _______________ 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1.1. Название и адрес грузоотправителя: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Ветеринарный сертификат на экспортируемые на таможенную территорию Таможенного союза Республики Беларусь, Республики Казахстан и Российской Федерации кормовые добавки для кошек и собак, а также готовые корма для кошек и собак, прошедшие термическую обработку</w:t>
            </w:r>
          </w:p>
        </w:tc>
      </w:tr>
      <w:tr>
        <w:trPr>
          <w:trHeight w:val="9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1.2. Название и адрес грузополучателя: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1.3. Транспорт: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(№ вагона, автомашины, контейнера, рейса самолета, название судна)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1.6. Страна происхождения товара: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1.7. Страна, выдавшая сертификат: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1.8. Компетентное ведомство страны-экспортера:</w:t>
            </w:r>
          </w:p>
        </w:tc>
      </w:tr>
      <w:tr>
        <w:trPr>
          <w:trHeight w:val="555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1.9. Учреждение страны-экспортера, выдавшее сертификат:</w:t>
            </w:r>
          </w:p>
        </w:tc>
      </w:tr>
      <w:tr>
        <w:trPr>
          <w:trHeight w:val="78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1.10. Пункт пропуска товаров через таможенную границу: </w:t>
            </w:r>
          </w:p>
        </w:tc>
      </w:tr>
      <w:tr>
        <w:trPr>
          <w:trHeight w:val="247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Идентификация товара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Наименование товара: 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выработки товара: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Упаковка: 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мест: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Вес нетто (кг): 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2.6.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 пломбы: 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2.7.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Маркировка: 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2.8.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Условия хранения и перевозки: __________________________________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Происхождение товара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Название, регистрационный номер и адрес предприятия: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Административно-территориальная единица: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Свидетельство о пригодности товара в пищу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государственный/официальный ветеринарный врач, настоящим удостоверяю следующее: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 выдан на основе следующих доэкспортных сертификатов (при наличии более 2 доэкспортных сертификатов прилагается список)*:</w:t>
            </w:r>
          </w:p>
        </w:tc>
      </w:tr>
      <w:tr>
        <w:trPr>
          <w:trHeight w:val="5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Номер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Административная территория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Регистрационный номер предприятия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Вид и количество (вес нетто) товара</w:t>
            </w:r>
          </w:p>
        </w:tc>
      </w:tr>
      <w:tr>
        <w:trPr>
          <w:trHeight w:val="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2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Экспортируемые на таможенную территорию Таможенного союза Республики Беларусь, Республики Казахстан и Российской Федерации кормовые добавки для кошек и собак, а также готовые корма для кошек и собак, прошедшие термическую обработку, произведены на предприятиях, находящихся под контролем компетентной ветеринарной службы страны-экспортера, и получены из сырья, происходящего из хозяйств или административных территорий, свободных от заразных болезней животных и птиц: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африканской чумы свиней, африканской чумы лошадей, чумы крупного и мелкого рогатого скота, классической чумы свиней, ящура, оспы овец и коз – в течение последних 12 месяцев на административной территории в соответствии с регионализацией;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 сибирской язвы и анаэробных инфекций – в течение последних 20 дней на территории хозяйства.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Сырье для приготовления кормов боенского происхождения подвергнуто послеубойной ветеринарно-санитарной экспертизе.</w:t>
            </w:r>
          </w:p>
        </w:tc>
      </w:tr>
      <w:tr>
        <w:trPr>
          <w:trHeight w:val="6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Для производства кормов не использовалось сырье, содержащее материалы специфического риска, содержимое желудков и кишечника, полученное при убое крупного и мелкого рогатого скота, заготовленное в странах, неблагополучных по губкообразной энцефалопатии крупного рогатого скота.</w:t>
            </w:r>
          </w:p>
        </w:tc>
      </w:tr>
      <w:tr>
        <w:trPr>
          <w:trHeight w:val="11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4.4.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Корма и кормовые добавки не содержат сальмонелл, ботулинический токсин (для консервированных кормов), энтеропатогенную и анаэробную микрофлору.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Общая бактериальная обсемененность не превышает 500 тыс. микробных клеток в 1 грамме, что подтверждено данными лабораторных исследований, проведенных в аккредитованной лаборатории (указать название лаборатории и дату исследования).</w:t>
            </w:r>
          </w:p>
        </w:tc>
      </w:tr>
      <w:tr>
        <w:trPr>
          <w:trHeight w:val="9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4.5.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Сырье было обработано при температуре не ниже плюс 133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0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 (271,4 градуса по Фаренгейту) не менее 20 минут при давлении 3 бар (42,824 фунта на квадратный сантиметр) или было подвергнуто альтернативной системе термической обработки, обеспечивающей соответствующие требования к безопасности в отношении установленного микробиологического стандарта.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4.6.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 и упаковочный материал одноразовые и соответствуют требованиям технических регламентов Таможенного союза, действие которых на них распространяется.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4.7.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Транспортное средство обработано и подготовлено в соответствии с правилами, принятыми в стране-экспортере.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1"/>
        <w:gridCol w:w="11169"/>
      </w:tblGrid>
      <w:tr>
        <w:trPr>
          <w:trHeight w:val="14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______________            Дата _____________             Печать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государственного/официального ветеринарного врача 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И. О. и должность 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Примечания:</w:t>
            </w:r>
          </w:p>
        </w:tc>
        <w:tc>
          <w:tcPr>
            <w:tcW w:w="1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Подпись и печать должны отличаться цветом от бланка.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Ветеринарный сертификат оформляется на русском языке, а также на языке страны-экспортера и (или) английском языке.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 Для государств – членов Европейского союза.».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