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1dc2" w14:textId="64a1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Методику распределения между участниками внешнеторговой деятельности объемов импортной квоты в отношении зерноуборочных комбайнов и модулей зерноуборочных комбайнов</w:t>
      </w:r>
    </w:p>
    <w:p>
      <w:pPr>
        <w:spacing w:after="0"/>
        <w:ind w:left="0"/>
        <w:jc w:val="both"/>
      </w:pPr>
      <w:r>
        <w:rPr>
          <w:rFonts w:ascii="Times New Roman"/>
          <w:b w:val="false"/>
          <w:i w:val="false"/>
          <w:color w:val="000000"/>
          <w:sz w:val="28"/>
        </w:rPr>
        <w:t>Решение Коллегии Евразийской экономической комиссии от 5 февраля 2014 года № 12</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о применении специальных защитных, антидемпинговых и компенсационных мер по отношению к третьим странам от 25 января 2008 года и после консультаций с Консультативным комитетом по торговле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Методику</w:t>
      </w:r>
      <w:r>
        <w:rPr>
          <w:rFonts w:ascii="Times New Roman"/>
          <w:b w:val="false"/>
          <w:i w:val="false"/>
          <w:color w:val="000000"/>
          <w:sz w:val="28"/>
        </w:rPr>
        <w:t xml:space="preserve"> распределения между участниками внешнеторговой деятельности объемов импортной квоты в отношении зерноуборочных комбайнов и модулей зерноуборочных комбайнов (приложение № 2 к Решению Коллегии Евразийской экономической комиссии от 25 июня 2013 г. № 143 «О применении специальной защитной меры посредством введения импортной квоты в отношении зерноуборочных комбайнов и модулей зерноуборочных комбайнов»)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w:t>
      </w:r>
      <w:r>
        <w:br/>
      </w:r>
      <w:r>
        <w:rPr>
          <w:rFonts w:ascii="Times New Roman"/>
          <w:b w:val="false"/>
          <w:i w:val="false"/>
          <w:color w:val="000000"/>
          <w:sz w:val="28"/>
        </w:rPr>
        <w:t>
</w:t>
      </w:r>
      <w:r>
        <w:rPr>
          <w:rFonts w:ascii="Times New Roman"/>
          <w:b w:val="false"/>
          <w:i/>
          <w:color w:val="000000"/>
          <w:sz w:val="28"/>
        </w:rPr>
        <w:t>      комиссии                                   В.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Коллегии Евразийской</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xml:space="preserve">
от 5 февраля 2014 г. № 12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Методику распределения между участниками</w:t>
      </w:r>
      <w:r>
        <w:br/>
      </w:r>
      <w:r>
        <w:rPr>
          <w:rFonts w:ascii="Times New Roman"/>
          <w:b/>
          <w:i w:val="false"/>
          <w:color w:val="000000"/>
        </w:rPr>
        <w:t>
внешнеторговой деятельности объемов импортной квоты</w:t>
      </w:r>
      <w:r>
        <w:br/>
      </w:r>
      <w:r>
        <w:rPr>
          <w:rFonts w:ascii="Times New Roman"/>
          <w:b/>
          <w:i w:val="false"/>
          <w:color w:val="000000"/>
        </w:rPr>
        <w:t>
в отношении зерноуборочных комбайнов и модулей</w:t>
      </w:r>
      <w:r>
        <w:br/>
      </w:r>
      <w:r>
        <w:rPr>
          <w:rFonts w:ascii="Times New Roman"/>
          <w:b/>
          <w:i w:val="false"/>
          <w:color w:val="000000"/>
        </w:rPr>
        <w:t>
зерноуборочных комбайнов</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слова «пропорционально доли» заменить словами «пропорционально доле»;</w:t>
      </w:r>
      <w:r>
        <w:br/>
      </w:r>
      <w:r>
        <w:rPr>
          <w:rFonts w:ascii="Times New Roman"/>
          <w:b w:val="false"/>
          <w:i w:val="false"/>
          <w:color w:val="000000"/>
          <w:sz w:val="28"/>
        </w:rPr>
        <w:t>
</w:t>
      </w:r>
      <w:r>
        <w:rPr>
          <w:rFonts w:ascii="Times New Roman"/>
          <w:b w:val="false"/>
          <w:i w:val="false"/>
          <w:color w:val="000000"/>
          <w:sz w:val="28"/>
        </w:rPr>
        <w:t>
      после слов «в общем объеме ввоза» дополнить словами «подавшими заявки участниками внешнеторговой деятельности»;</w:t>
      </w:r>
      <w:r>
        <w:br/>
      </w:r>
      <w:r>
        <w:rPr>
          <w:rFonts w:ascii="Times New Roman"/>
          <w:b w:val="false"/>
          <w:i w:val="false"/>
          <w:color w:val="000000"/>
          <w:sz w:val="28"/>
        </w:rPr>
        <w:t>
</w:t>
      </w:r>
      <w:r>
        <w:rPr>
          <w:rFonts w:ascii="Times New Roman"/>
          <w:b w:val="false"/>
          <w:i w:val="false"/>
          <w:color w:val="000000"/>
          <w:sz w:val="28"/>
        </w:rPr>
        <w:t>
      в абзаце семнадцатом слово «всеми» заменить словами «подавшими заявки».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10</w:t>
      </w:r>
      <w:r>
        <w:rPr>
          <w:rFonts w:ascii="Times New Roman"/>
          <w:b w:val="false"/>
          <w:i w:val="false"/>
          <w:color w:val="000000"/>
          <w:sz w:val="28"/>
        </w:rPr>
        <w:t xml:space="preserve"> слова «1 июня» заменить словами «1 апреля».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11</w:t>
      </w:r>
      <w:r>
        <w:rPr>
          <w:rFonts w:ascii="Times New Roman"/>
          <w:b w:val="false"/>
          <w:i w:val="false"/>
          <w:color w:val="000000"/>
          <w:sz w:val="28"/>
        </w:rPr>
        <w:t xml:space="preserve"> слова «пунктами 7 и 8» заменить словами «пунктами 11</w:t>
      </w:r>
      <w:r>
        <w:rPr>
          <w:rFonts w:ascii="Times New Roman"/>
          <w:b w:val="false"/>
          <w:i w:val="false"/>
          <w:color w:val="000000"/>
          <w:vertAlign w:val="superscript"/>
        </w:rPr>
        <w:t>1</w:t>
      </w:r>
      <w:r>
        <w:rPr>
          <w:rFonts w:ascii="Times New Roman"/>
          <w:b w:val="false"/>
          <w:i w:val="false"/>
          <w:color w:val="000000"/>
          <w:sz w:val="28"/>
        </w:rPr>
        <w:t xml:space="preserve"> и 11</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Дополнить пунктами 11</w:t>
      </w:r>
      <w:r>
        <w:rPr>
          <w:rFonts w:ascii="Times New Roman"/>
          <w:b w:val="false"/>
          <w:i w:val="false"/>
          <w:color w:val="000000"/>
          <w:vertAlign w:val="superscript"/>
        </w:rPr>
        <w:t>1</w:t>
      </w:r>
      <w:r>
        <w:rPr>
          <w:rFonts w:ascii="Times New Roman"/>
          <w:b w:val="false"/>
          <w:i w:val="false"/>
          <w:color w:val="000000"/>
          <w:sz w:val="28"/>
        </w:rPr>
        <w:t xml:space="preserve"> и 11</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В случае если совокупное количество товара (в штуках), указанное во всех заявках, поданных участниками внешнеторговой деятельности, превышает нераспределенный объем импортной квоты, нераспределенный объем импортной квоты распределяется между такими участниками внешнеторговой деятельности пропорционально доле количества товара (в штуках), указанного в заявке участника внешнеторговой деятельности, в общем количестве товара (в штуках), указанном во всех заявках участников внешнеторговой деятельности.</w:t>
      </w:r>
      <w:r>
        <w:br/>
      </w:r>
      <w:r>
        <w:rPr>
          <w:rFonts w:ascii="Times New Roman"/>
          <w:b w:val="false"/>
          <w:i w:val="false"/>
          <w:color w:val="000000"/>
          <w:sz w:val="28"/>
        </w:rPr>
        <w:t>
      Для расчета объема импортной квоты, выделяемого участнику внешнеторговой деятельности в соответствии с настоящим пунктом, используется следующая формула:</w:t>
      </w:r>
    </w:p>
    <w:bookmarkEnd w:id="3"/>
    <w:p>
      <w:pPr>
        <w:spacing w:after="0"/>
        <w:ind w:left="0"/>
        <w:jc w:val="both"/>
      </w:pPr>
      <w:r>
        <w:rPr>
          <w:rFonts w:ascii="Times New Roman"/>
          <w:b w:val="false"/>
          <w:i w:val="false"/>
          <w:color w:val="000000"/>
          <w:sz w:val="28"/>
        </w:rPr>
        <w:t>V</w:t>
      </w:r>
      <w:r>
        <w:rPr>
          <w:rFonts w:ascii="Times New Roman"/>
          <w:b w:val="false"/>
          <w:i w:val="false"/>
          <w:color w:val="000000"/>
          <w:vertAlign w:val="subscript"/>
        </w:rPr>
        <w:t>iост</w:t>
      </w:r>
      <w:r>
        <w:rPr>
          <w:rFonts w:ascii="Times New Roman"/>
          <w:b w:val="false"/>
          <w:i w:val="false"/>
          <w:color w:val="000000"/>
          <w:sz w:val="28"/>
        </w:rPr>
        <w:t xml:space="preserve"> = V</w:t>
      </w:r>
      <w:r>
        <w:rPr>
          <w:rFonts w:ascii="Times New Roman"/>
          <w:b w:val="false"/>
          <w:i w:val="false"/>
          <w:color w:val="000000"/>
          <w:vertAlign w:val="subscript"/>
        </w:rPr>
        <w:t>iзаяв</w:t>
      </w:r>
      <w:r>
        <w:rPr>
          <w:rFonts w:ascii="Times New Roman"/>
          <w:b w:val="false"/>
          <w:i w:val="false"/>
          <w:color w:val="000000"/>
          <w:sz w:val="28"/>
        </w:rPr>
        <w:t xml:space="preserve"> х D, </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iост</w:t>
      </w:r>
      <w:r>
        <w:rPr>
          <w:rFonts w:ascii="Times New Roman"/>
          <w:b w:val="false"/>
          <w:i w:val="false"/>
          <w:color w:val="000000"/>
          <w:sz w:val="28"/>
        </w:rPr>
        <w:t xml:space="preserve"> – объем импортной квоты, выделяемой i-му участнику внешнеторговой деятельности;</w:t>
      </w:r>
      <w:r>
        <w:br/>
      </w:r>
      <w:r>
        <w:rPr>
          <w:rFonts w:ascii="Times New Roman"/>
          <w:b w:val="false"/>
          <w:i w:val="false"/>
          <w:color w:val="000000"/>
          <w:sz w:val="28"/>
        </w:rPr>
        <w:t>
      V</w:t>
      </w:r>
      <w:r>
        <w:rPr>
          <w:rFonts w:ascii="Times New Roman"/>
          <w:b w:val="false"/>
          <w:i w:val="false"/>
          <w:color w:val="000000"/>
          <w:vertAlign w:val="subscript"/>
        </w:rPr>
        <w:t>iзаяв</w:t>
      </w:r>
      <w:r>
        <w:rPr>
          <w:rFonts w:ascii="Times New Roman"/>
          <w:b w:val="false"/>
          <w:i w:val="false"/>
          <w:color w:val="000000"/>
          <w:sz w:val="28"/>
        </w:rPr>
        <w:t xml:space="preserve"> – количество товара (в штуках), указанное в заявке i-го участника внешнеторговой деятельности;</w:t>
      </w:r>
      <w:r>
        <w:br/>
      </w:r>
      <w:r>
        <w:rPr>
          <w:rFonts w:ascii="Times New Roman"/>
          <w:b w:val="false"/>
          <w:i w:val="false"/>
          <w:color w:val="000000"/>
          <w:sz w:val="28"/>
        </w:rPr>
        <w:t>
      D – коэффициент соотношения нераспределенного объема импортной квоты и количества товара (в штуках), указанного во всех заявках участников внешнеторговой деятельности.</w:t>
      </w:r>
      <w:r>
        <w:br/>
      </w:r>
      <w:r>
        <w:rPr>
          <w:rFonts w:ascii="Times New Roman"/>
          <w:b w:val="false"/>
          <w:i w:val="false"/>
          <w:color w:val="000000"/>
          <w:sz w:val="28"/>
        </w:rPr>
        <w:t>
      В случае если в заявке i-го участника внешнеторговой деятельности указано количество товара, превышающее нераспределенный объем импортной квоты, V</w:t>
      </w:r>
      <w:r>
        <w:rPr>
          <w:rFonts w:ascii="Times New Roman"/>
          <w:b w:val="false"/>
          <w:i w:val="false"/>
          <w:color w:val="000000"/>
          <w:vertAlign w:val="subscript"/>
        </w:rPr>
        <w:t>iзаяв</w:t>
      </w:r>
      <w:r>
        <w:rPr>
          <w:rFonts w:ascii="Times New Roman"/>
          <w:b w:val="false"/>
          <w:i w:val="false"/>
          <w:color w:val="000000"/>
          <w:sz w:val="28"/>
        </w:rPr>
        <w:t xml:space="preserve"> признается равным нераспределенному объему импортной квоты.</w:t>
      </w:r>
      <w:r>
        <w:br/>
      </w:r>
      <w:r>
        <w:rPr>
          <w:rFonts w:ascii="Times New Roman"/>
          <w:b w:val="false"/>
          <w:i w:val="false"/>
          <w:color w:val="000000"/>
          <w:sz w:val="28"/>
        </w:rPr>
        <w:t>
      D рассчитывается по следующей формуле:</w:t>
      </w:r>
    </w:p>
    <w:p>
      <w:pPr>
        <w:spacing w:after="0"/>
        <w:ind w:left="0"/>
        <w:jc w:val="both"/>
      </w:pPr>
      <w:r>
        <w:rPr>
          <w:rFonts w:ascii="Times New Roman"/>
          <w:b w:val="false"/>
          <w:i w:val="false"/>
          <w:color w:val="000000"/>
          <w:sz w:val="28"/>
        </w:rPr>
        <w:t>D = V</w:t>
      </w:r>
      <w:r>
        <w:rPr>
          <w:rFonts w:ascii="Times New Roman"/>
          <w:b w:val="false"/>
          <w:i w:val="false"/>
          <w:color w:val="000000"/>
          <w:vertAlign w:val="subscript"/>
        </w:rPr>
        <w:t>ост</w:t>
      </w:r>
      <w:r>
        <w:rPr>
          <w:rFonts w:ascii="Times New Roman"/>
          <w:b w:val="false"/>
          <w:i w:val="false"/>
          <w:color w:val="000000"/>
          <w:sz w:val="28"/>
        </w:rPr>
        <w:t xml:space="preserve"> / V</w:t>
      </w:r>
      <w:r>
        <w:rPr>
          <w:rFonts w:ascii="Times New Roman"/>
          <w:b w:val="false"/>
          <w:i w:val="false"/>
          <w:color w:val="000000"/>
          <w:vertAlign w:val="subscript"/>
        </w:rPr>
        <w:t>заявок</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ост</w:t>
      </w:r>
      <w:r>
        <w:rPr>
          <w:rFonts w:ascii="Times New Roman"/>
          <w:b w:val="false"/>
          <w:i w:val="false"/>
          <w:color w:val="000000"/>
          <w:sz w:val="28"/>
        </w:rPr>
        <w:t xml:space="preserve"> – нераспределенный объем импортной квоты;</w:t>
      </w:r>
      <w:r>
        <w:br/>
      </w:r>
      <w:r>
        <w:rPr>
          <w:rFonts w:ascii="Times New Roman"/>
          <w:b w:val="false"/>
          <w:i w:val="false"/>
          <w:color w:val="000000"/>
          <w:sz w:val="28"/>
        </w:rPr>
        <w:t>
      Vзаявок – общее количество товара (в штуках), указанное во всех заявках участников внешнеторговой деятельности.</w:t>
      </w:r>
      <w:r>
        <w:br/>
      </w:r>
      <w:r>
        <w:rPr>
          <w:rFonts w:ascii="Times New Roman"/>
          <w:b w:val="false"/>
          <w:i w:val="false"/>
          <w:color w:val="000000"/>
          <w:sz w:val="28"/>
        </w:rPr>
        <w:t>
      В случае если рассчитанный по указанным формулам объем импортной квоты, выделяемый участнику внешнеторговой деятельности, имеет дробные единицы, то расчетная величина устанавливается без учета дробных единиц. Образовавшийся остаток распределяется между участниками внешнеторговой деятельности, объем импортной квоты которых имеет дробные единицы, в размере 1 штуки товара на участника внешнеторговой деятельности, начиная с участника, объем импортной квоты которого имеет наибольшую величину дробной единицы, в порядке убывания до исчерпания остатка импортной квоты.</w:t>
      </w:r>
      <w:r>
        <w:br/>
      </w:r>
      <w:r>
        <w:rPr>
          <w:rFonts w:ascii="Times New Roman"/>
          <w:b w:val="false"/>
          <w:i w:val="false"/>
          <w:color w:val="000000"/>
          <w:sz w:val="28"/>
        </w:rPr>
        <w:t>
      11</w:t>
      </w:r>
      <w:r>
        <w:rPr>
          <w:rFonts w:ascii="Times New Roman"/>
          <w:b w:val="false"/>
          <w:i w:val="false"/>
          <w:color w:val="000000"/>
          <w:vertAlign w:val="superscript"/>
        </w:rPr>
        <w:t>2</w:t>
      </w:r>
      <w:r>
        <w:rPr>
          <w:rFonts w:ascii="Times New Roman"/>
          <w:b w:val="false"/>
          <w:i w:val="false"/>
          <w:color w:val="000000"/>
          <w:sz w:val="28"/>
        </w:rPr>
        <w:t>. В случае если совокупное количество товара (в штуках), указанное во всех заявках, поданных участниками внешнеторговой деятельности, не превышает нераспределенный объем импортной квоты, нераспределенный объем импортной квоты распределяется между такими участниками внешнеторговой деятельности по количеству товара (в штуках), указанному в заявках.».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