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7c34" w14:textId="d327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Протокола о внесении изменений в Соглашение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p>
    <w:p>
      <w:pPr>
        <w:spacing w:after="0"/>
        <w:ind w:left="0"/>
        <w:jc w:val="both"/>
      </w:pPr>
      <w:r>
        <w:rPr>
          <w:rFonts w:ascii="Times New Roman"/>
          <w:b w:val="false"/>
          <w:i w:val="false"/>
          <w:color w:val="000000"/>
          <w:sz w:val="28"/>
        </w:rPr>
        <w:t>Решение Коллегии Евразийской экономической комиссии от 5 февраля 2014 года № 10</w:t>
      </w:r>
    </w:p>
    <w:p>
      <w:pPr>
        <w:spacing w:after="0"/>
        <w:ind w:left="0"/>
        <w:jc w:val="both"/>
      </w:pPr>
      <w:bookmarkStart w:name="z1" w:id="0"/>
      <w:r>
        <w:rPr>
          <w:rFonts w:ascii="Times New Roman"/>
          <w:b w:val="false"/>
          <w:i w:val="false"/>
          <w:color w:val="000000"/>
          <w:sz w:val="28"/>
        </w:rPr>
        <w:t xml:space="preserve">
      Приняв к сведению информацию члена Коллегии (Министра) по таможенному сотрудничеству Евразийской экономической комиссии Гошина В.А. о совершенствовании таможенного законодательства Таможенного союза в части представления таможенным органам предварительной информации,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в Соглашение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2. Просить государства – члены Таможенного союза и Единого экономического пространства до 10 марта 2014 г. провести внутригосударственное согласование проекта Протокола,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и проинформировать Евразийскую экономическую комиссию о его результатах.</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w:t>
      </w:r>
      <w:r>
        <w:br/>
      </w:r>
      <w:r>
        <w:rPr>
          <w:rFonts w:ascii="Times New Roman"/>
          <w:b w:val="false"/>
          <w:i w:val="false"/>
          <w:color w:val="000000"/>
          <w:sz w:val="28"/>
        </w:rPr>
        <w:t>
</w:t>
      </w:r>
      <w:r>
        <w:rPr>
          <w:rFonts w:ascii="Times New Roman"/>
          <w:b w:val="false"/>
          <w:i/>
          <w:color w:val="000000"/>
          <w:sz w:val="28"/>
        </w:rPr>
        <w:t>      комиссии                                   В. Христенко</w:t>
      </w:r>
    </w:p>
    <w:bookmarkStart w:name="z5" w:id="1"/>
    <w:p>
      <w:pPr>
        <w:spacing w:after="0"/>
        <w:ind w:left="0"/>
        <w:jc w:val="both"/>
      </w:pPr>
      <w:r>
        <w:rPr>
          <w:rFonts w:ascii="Times New Roman"/>
          <w:b w:val="false"/>
          <w:i w:val="false"/>
          <w:color w:val="000000"/>
          <w:sz w:val="28"/>
        </w:rPr>
        <w:t>
Проект</w:t>
      </w:r>
    </w:p>
    <w:bookmarkEnd w:id="1"/>
    <w:bookmarkStart w:name="z6" w:id="2"/>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в Соглашение</w:t>
      </w:r>
      <w:r>
        <w:br/>
      </w:r>
      <w:r>
        <w:rPr>
          <w:rFonts w:ascii="Times New Roman"/>
          <w:b/>
          <w:i w:val="false"/>
          <w:color w:val="000000"/>
        </w:rPr>
        <w:t>
о представлении и об обмене предварительной информацией</w:t>
      </w:r>
      <w:r>
        <w:br/>
      </w:r>
      <w:r>
        <w:rPr>
          <w:rFonts w:ascii="Times New Roman"/>
          <w:b/>
          <w:i w:val="false"/>
          <w:color w:val="000000"/>
        </w:rPr>
        <w:t>
о товарах и транспортных средствах, перемещаемых через</w:t>
      </w:r>
      <w:r>
        <w:br/>
      </w:r>
      <w:r>
        <w:rPr>
          <w:rFonts w:ascii="Times New Roman"/>
          <w:b/>
          <w:i w:val="false"/>
          <w:color w:val="000000"/>
        </w:rPr>
        <w:t>
таможенную границу таможенного союза, от 21 мая 2010 года</w:t>
      </w:r>
    </w:p>
    <w:bookmarkEnd w:id="2"/>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Таможенном кодексе таможенного союза от 27 ноября 2009 года и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Соглашения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 (далее – Соглашение),</w:t>
      </w:r>
      <w:r>
        <w:br/>
      </w:r>
      <w:r>
        <w:rPr>
          <w:rFonts w:ascii="Times New Roman"/>
          <w:b w:val="false"/>
          <w:i w:val="false"/>
          <w:color w:val="000000"/>
          <w:sz w:val="28"/>
        </w:rPr>
        <w:t>
      согласились о нижеследующем:</w:t>
      </w:r>
    </w:p>
    <w:bookmarkStart w:name="z7"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Внести в Соглашение изменения согласно </w:t>
      </w:r>
      <w:r>
        <w:rPr>
          <w:rFonts w:ascii="Times New Roman"/>
          <w:b w:val="false"/>
          <w:i w:val="false"/>
          <w:color w:val="000000"/>
          <w:sz w:val="28"/>
        </w:rPr>
        <w:t>приложению</w:t>
      </w:r>
      <w:r>
        <w:rPr>
          <w:rFonts w:ascii="Times New Roman"/>
          <w:b w:val="false"/>
          <w:i w:val="false"/>
          <w:color w:val="000000"/>
          <w:sz w:val="28"/>
        </w:rPr>
        <w:t>, являющемуся неотъемлемой частью настоящего Протокола.</w:t>
      </w:r>
    </w:p>
    <w:bookmarkStart w:name="z8"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Протокола, разрешаются в порядке, установленном </w:t>
      </w:r>
      <w:r>
        <w:rPr>
          <w:rFonts w:ascii="Times New Roman"/>
          <w:b w:val="false"/>
          <w:i w:val="false"/>
          <w:color w:val="000000"/>
          <w:sz w:val="28"/>
        </w:rPr>
        <w:t>Соглашением</w:t>
      </w:r>
      <w:r>
        <w:rPr>
          <w:rFonts w:ascii="Times New Roman"/>
          <w:b w:val="false"/>
          <w:i w:val="false"/>
          <w:color w:val="000000"/>
          <w:sz w:val="28"/>
        </w:rPr>
        <w:t>.</w:t>
      </w:r>
    </w:p>
    <w:bookmarkStart w:name="z9"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Настоящий Протокол подлежит ратификации и временно применяется по истечении 60 дней с даты подписания.</w:t>
      </w:r>
      <w:r>
        <w:br/>
      </w:r>
      <w:r>
        <w:rPr>
          <w:rFonts w:ascii="Times New Roman"/>
          <w:b w:val="false"/>
          <w:i w:val="false"/>
          <w:color w:val="000000"/>
          <w:sz w:val="28"/>
        </w:rPr>
        <w:t>
      Настоящий Протокол вступает в силу с даты получения депозитарием по дипломатическим каналам последнего письменного уведомления Сторон о ратификации.</w:t>
      </w:r>
    </w:p>
    <w:p>
      <w:pPr>
        <w:spacing w:after="0"/>
        <w:ind w:left="0"/>
        <w:jc w:val="both"/>
      </w:pPr>
      <w:r>
        <w:rPr>
          <w:rFonts w:ascii="Times New Roman"/>
          <w:b w:val="false"/>
          <w:i w:val="false"/>
          <w:color w:val="000000"/>
          <w:sz w:val="28"/>
        </w:rPr>
        <w:t>      Совершено в городе ___________ «___» ________ 20___ года в одном подлинном экземпляре на русском языке.</w:t>
      </w:r>
      <w:r>
        <w:br/>
      </w: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4321"/>
        <w:gridCol w:w="4405"/>
      </w:tblGrid>
      <w:tr>
        <w:trPr>
          <w:trHeight w:val="27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bookmarkStart w:name="z10" w:id="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внесении изменений  </w:t>
      </w:r>
      <w:r>
        <w:br/>
      </w:r>
      <w:r>
        <w:rPr>
          <w:rFonts w:ascii="Times New Roman"/>
          <w:b w:val="false"/>
          <w:i w:val="false"/>
          <w:color w:val="000000"/>
          <w:sz w:val="28"/>
        </w:rPr>
        <w:t xml:space="preserve">
в Соглашение о представлении и об </w:t>
      </w:r>
      <w:r>
        <w:br/>
      </w:r>
      <w:r>
        <w:rPr>
          <w:rFonts w:ascii="Times New Roman"/>
          <w:b w:val="false"/>
          <w:i w:val="false"/>
          <w:color w:val="000000"/>
          <w:sz w:val="28"/>
        </w:rPr>
        <w:t xml:space="preserve">
обмене предварительной информацией </w:t>
      </w:r>
      <w:r>
        <w:br/>
      </w:r>
      <w:r>
        <w:rPr>
          <w:rFonts w:ascii="Times New Roman"/>
          <w:b w:val="false"/>
          <w:i w:val="false"/>
          <w:color w:val="000000"/>
          <w:sz w:val="28"/>
        </w:rPr>
        <w:t>
о товарах и транспортных средствах,</w:t>
      </w:r>
      <w:r>
        <w:br/>
      </w:r>
      <w:r>
        <w:rPr>
          <w:rFonts w:ascii="Times New Roman"/>
          <w:b w:val="false"/>
          <w:i w:val="false"/>
          <w:color w:val="000000"/>
          <w:sz w:val="28"/>
        </w:rPr>
        <w:t xml:space="preserve">
перемещаемых через таможенную  </w:t>
      </w:r>
      <w:r>
        <w:br/>
      </w:r>
      <w:r>
        <w:rPr>
          <w:rFonts w:ascii="Times New Roman"/>
          <w:b w:val="false"/>
          <w:i w:val="false"/>
          <w:color w:val="000000"/>
          <w:sz w:val="28"/>
        </w:rPr>
        <w:t xml:space="preserve">
границу таможенного союза,   </w:t>
      </w:r>
      <w:r>
        <w:br/>
      </w:r>
      <w:r>
        <w:rPr>
          <w:rFonts w:ascii="Times New Roman"/>
          <w:b w:val="false"/>
          <w:i w:val="false"/>
          <w:color w:val="000000"/>
          <w:sz w:val="28"/>
        </w:rPr>
        <w:t xml:space="preserve">
от 21 мая 2010 года       </w:t>
      </w:r>
    </w:p>
    <w:bookmarkEnd w:id="6"/>
    <w:bookmarkStart w:name="z11" w:id="7"/>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Соглашение о представлении и об обмене</w:t>
      </w:r>
      <w:r>
        <w:br/>
      </w:r>
      <w:r>
        <w:rPr>
          <w:rFonts w:ascii="Times New Roman"/>
          <w:b/>
          <w:i w:val="false"/>
          <w:color w:val="000000"/>
        </w:rPr>
        <w:t>
предварительной информацией о товарах и транспортных</w:t>
      </w:r>
      <w:r>
        <w:br/>
      </w:r>
      <w:r>
        <w:rPr>
          <w:rFonts w:ascii="Times New Roman"/>
          <w:b/>
          <w:i w:val="false"/>
          <w:color w:val="000000"/>
        </w:rPr>
        <w:t>
средствах, перемещаемых через таможенную границу</w:t>
      </w:r>
      <w:r>
        <w:br/>
      </w:r>
      <w:r>
        <w:rPr>
          <w:rFonts w:ascii="Times New Roman"/>
          <w:b/>
          <w:i w:val="false"/>
          <w:color w:val="000000"/>
        </w:rPr>
        <w:t>
таможенного союза, от 21 мая 2010 года</w:t>
      </w:r>
    </w:p>
    <w:bookmarkEnd w:id="7"/>
    <w:bookmarkStart w:name="z12" w:id="8"/>
    <w:p>
      <w:pPr>
        <w:spacing w:after="0"/>
        <w:ind w:left="0"/>
        <w:jc w:val="both"/>
      </w:pPr>
      <w:r>
        <w:rPr>
          <w:rFonts w:ascii="Times New Roman"/>
          <w:b w:val="false"/>
          <w:i w:val="false"/>
          <w:color w:val="000000"/>
          <w:sz w:val="28"/>
        </w:rPr>
        <w:t>
      1. Наименование </w:t>
      </w:r>
      <w:r>
        <w:rPr>
          <w:rFonts w:ascii="Times New Roman"/>
          <w:b w:val="false"/>
          <w:i w:val="false"/>
          <w:color w:val="000000"/>
          <w:sz w:val="28"/>
        </w:rPr>
        <w:t>Соглашения</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 представлении таможенным органам предварительной информации».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преамбуле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абзаце первом слова «Правительства государств – членов таможенного союза в рамках Евразийского экономического сообщества» заменить словами «Правительство Республики Беларусь, Правительство Республики Казахстан и Правительство Российской Федерации»;</w:t>
      </w:r>
      <w:r>
        <w:br/>
      </w:r>
      <w:r>
        <w:rPr>
          <w:rFonts w:ascii="Times New Roman"/>
          <w:b w:val="false"/>
          <w:i w:val="false"/>
          <w:color w:val="000000"/>
          <w:sz w:val="28"/>
        </w:rPr>
        <w:t>
</w:t>
      </w:r>
      <w:r>
        <w:rPr>
          <w:rFonts w:ascii="Times New Roman"/>
          <w:b w:val="false"/>
          <w:i w:val="false"/>
          <w:color w:val="000000"/>
          <w:sz w:val="28"/>
        </w:rPr>
        <w:t>
      б) в абзаце втором слова «(далее – Договор)» исключить;</w:t>
      </w:r>
      <w:r>
        <w:br/>
      </w:r>
      <w:r>
        <w:rPr>
          <w:rFonts w:ascii="Times New Roman"/>
          <w:b w:val="false"/>
          <w:i w:val="false"/>
          <w:color w:val="000000"/>
          <w:sz w:val="28"/>
        </w:rPr>
        <w:t>
</w:t>
      </w:r>
      <w:r>
        <w:rPr>
          <w:rFonts w:ascii="Times New Roman"/>
          <w:b w:val="false"/>
          <w:i w:val="false"/>
          <w:color w:val="000000"/>
          <w:sz w:val="28"/>
        </w:rPr>
        <w:t>
      в) в абзаце четвертом слова «таможенного союза»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xml:space="preserve">
      г) в абзаце пятом слова «и обмена предварительной информацией» заменить словами «предварительной информации», слова «таможенного союза» заменить словами «Таможенного союза».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8"/>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настоящем Соглашении используются основные понятия, которые означают следующее:</w:t>
      </w:r>
      <w:r>
        <w:br/>
      </w:r>
      <w:r>
        <w:rPr>
          <w:rFonts w:ascii="Times New Roman"/>
          <w:b w:val="false"/>
          <w:i w:val="false"/>
          <w:color w:val="000000"/>
          <w:sz w:val="28"/>
        </w:rPr>
        <w:t>
      «предварительная информация» – сведения, представляемые в электронном виде таможенному органу государства Стороны, на территории которого расположено планируемое место перемещения товаров через таможенную границу Таможенного союза, о товарах, предполагаемых к перемещению через таможенную границу Таможенного союза, транспортных средствах международной перевозки, перемещающих такие товары, времени и месте прибытия товаров на единую таможенную территорию Таможенного союза</w:t>
      </w:r>
      <w:r>
        <w:br/>
      </w:r>
      <w:r>
        <w:rPr>
          <w:rFonts w:ascii="Times New Roman"/>
          <w:b w:val="false"/>
          <w:i w:val="false"/>
          <w:color w:val="000000"/>
          <w:sz w:val="28"/>
        </w:rPr>
        <w:t>
или убытия с такой территории, пассажирах, прибывающих на единую таможенную территорию Таможенного союза или убывающих с такой территории;</w:t>
      </w:r>
      <w:r>
        <w:br/>
      </w:r>
      <w:r>
        <w:rPr>
          <w:rFonts w:ascii="Times New Roman"/>
          <w:b w:val="false"/>
          <w:i w:val="false"/>
          <w:color w:val="000000"/>
          <w:sz w:val="28"/>
        </w:rPr>
        <w:t>
      «технические требования» – документ, определяющий порядок, способ и регламенты электронного обмена данными между информационной системой таможенного органа государства Стороны и информационными системами заинтересованных лиц, представляющих предварительную информацию;</w:t>
      </w:r>
      <w:r>
        <w:br/>
      </w:r>
      <w:r>
        <w:rPr>
          <w:rFonts w:ascii="Times New Roman"/>
          <w:b w:val="false"/>
          <w:i w:val="false"/>
          <w:color w:val="000000"/>
          <w:sz w:val="28"/>
        </w:rPr>
        <w:t>
      «уникальный идентификационный номер перевозки» – номер предварительной информации, который присваивается таможенным органом государства Стороны с использованием информационной системы;</w:t>
      </w:r>
      <w:r>
        <w:br/>
      </w:r>
      <w:r>
        <w:rPr>
          <w:rFonts w:ascii="Times New Roman"/>
          <w:b w:val="false"/>
          <w:i w:val="false"/>
          <w:color w:val="000000"/>
          <w:sz w:val="28"/>
        </w:rPr>
        <w:t>
      «центральные таможенные органы государств Сторон» – Государственный таможенный комитет Республики Беларусь, Комитет таможенного контроля Министерства финансов Республики Казахстан, Федеральная таможенная служба Российской Федерации.</w:t>
      </w:r>
    </w:p>
    <w:p>
      <w:pPr>
        <w:spacing w:after="0"/>
        <w:ind w:left="0"/>
        <w:jc w:val="left"/>
      </w:pPr>
      <w:r>
        <w:rPr>
          <w:rFonts w:ascii="Times New Roman"/>
          <w:b/>
          <w:i w:val="false"/>
          <w:color w:val="000000"/>
        </w:rPr>
        <w:t xml:space="preserve"> Статья 2</w:t>
      </w:r>
    </w:p>
    <w:bookmarkStart w:name="z19" w:id="9"/>
    <w:p>
      <w:pPr>
        <w:spacing w:after="0"/>
        <w:ind w:left="0"/>
        <w:jc w:val="both"/>
      </w:pPr>
      <w:r>
        <w:rPr>
          <w:rFonts w:ascii="Times New Roman"/>
          <w:b w:val="false"/>
          <w:i w:val="false"/>
          <w:color w:val="000000"/>
          <w:sz w:val="28"/>
        </w:rPr>
        <w:t>      Уполномоченные экономические операторы, перевозчики, в том числе таможенные перевозчики, таможенные представители и иные заинтересованные лица (далее – заинтересованные лица) могут представлять таможенным органам государств Сторон предварительную информацию.</w:t>
      </w:r>
      <w:r>
        <w:br/>
      </w:r>
      <w:r>
        <w:rPr>
          <w:rFonts w:ascii="Times New Roman"/>
          <w:b w:val="false"/>
          <w:i w:val="false"/>
          <w:color w:val="000000"/>
          <w:sz w:val="28"/>
        </w:rPr>
        <w:t>
      В случае если обязательность представления предварительной информации установлена решением Евразийской экономической комиссии (далее – Комиссия) в соответствии с абзацем первым статьи 3 настоящего Соглашения, перевозчик обязан представить предварительную информацию в отношении товаров, ввозимых на единую таможенную территорию Таможенного союза. При этом перевозчик в соответствии с законодательством государства Стороны, на территории которого расположено место перемещения товаров через таможенную границу Таможенного союза, несет ответственность за непредставление либо нарушение установленных сроков представления предварительной информации.</w:t>
      </w:r>
      <w:r>
        <w:br/>
      </w:r>
      <w:r>
        <w:rPr>
          <w:rFonts w:ascii="Times New Roman"/>
          <w:b w:val="false"/>
          <w:i w:val="false"/>
          <w:color w:val="000000"/>
          <w:sz w:val="28"/>
        </w:rPr>
        <w:t>
      Предварительная информация считается непредставленной в следующих случаях:</w:t>
      </w:r>
      <w:r>
        <w:br/>
      </w:r>
      <w:r>
        <w:rPr>
          <w:rFonts w:ascii="Times New Roman"/>
          <w:b w:val="false"/>
          <w:i w:val="false"/>
          <w:color w:val="000000"/>
          <w:sz w:val="28"/>
        </w:rPr>
        <w:t>
      непредставление перевозчиком таможенному органу государства Стороны уникального идентификационного номера перевозки (далее – УИНП), присвоенного в соответствии с абзацем пятым статьи 7 настоящего Соглашения;</w:t>
      </w:r>
      <w:r>
        <w:br/>
      </w:r>
      <w:r>
        <w:rPr>
          <w:rFonts w:ascii="Times New Roman"/>
          <w:b w:val="false"/>
          <w:i w:val="false"/>
          <w:color w:val="000000"/>
          <w:sz w:val="28"/>
        </w:rPr>
        <w:t>
      представление перевозчиком таможенному органу государства Стороны УИНП по истечении срока хранения предварительной информации, установленного абзацем восьмым статьи 7 настоящего Соглашения;</w:t>
      </w:r>
      <w:r>
        <w:br/>
      </w:r>
      <w:r>
        <w:rPr>
          <w:rFonts w:ascii="Times New Roman"/>
          <w:b w:val="false"/>
          <w:i w:val="false"/>
          <w:color w:val="000000"/>
          <w:sz w:val="28"/>
        </w:rPr>
        <w:t>
      представление перевозчиком таможенному органу государства Стороны УИНП, с использованием которого таможенным органом государства Стороны ранее совершены таможенные операции в соответствии со статьей 8 настоящего Соглашения.</w:t>
      </w:r>
      <w:r>
        <w:br/>
      </w:r>
      <w:r>
        <w:rPr>
          <w:rFonts w:ascii="Times New Roman"/>
          <w:b w:val="false"/>
          <w:i w:val="false"/>
          <w:color w:val="000000"/>
          <w:sz w:val="28"/>
        </w:rPr>
        <w:t>
      Предварительная информация в отношении товаров, предполагаемых к помещению под таможенную процедуру таможенного транзита в месте перемещения товаров через таможенную границу Таможенного союза, в котором осуществляется прибытие товаров на единую таможенную территорию Таможенного союза (далее – место прибытия), представляется в составе, определенном </w:t>
      </w:r>
      <w:r>
        <w:rPr>
          <w:rFonts w:ascii="Times New Roman"/>
          <w:b w:val="false"/>
          <w:i w:val="false"/>
          <w:color w:val="000000"/>
          <w:sz w:val="28"/>
        </w:rPr>
        <w:t>статьей 182</w:t>
      </w:r>
      <w:r>
        <w:rPr>
          <w:rFonts w:ascii="Times New Roman"/>
          <w:b w:val="false"/>
          <w:i w:val="false"/>
          <w:color w:val="000000"/>
          <w:sz w:val="28"/>
        </w:rPr>
        <w:t xml:space="preserve"> Таможенного кодекса Таможенного союза, если иное не установлено решением Комиссии.</w:t>
      </w:r>
      <w:r>
        <w:br/>
      </w:r>
      <w:r>
        <w:rPr>
          <w:rFonts w:ascii="Times New Roman"/>
          <w:b w:val="false"/>
          <w:i w:val="false"/>
          <w:color w:val="000000"/>
          <w:sz w:val="28"/>
        </w:rPr>
        <w:t>
      В иных случаях предварительная информация представляется в составе, определенном решением Комиссии.».</w:t>
      </w:r>
      <w:r>
        <w:br/>
      </w:r>
      <w:r>
        <w:rPr>
          <w:rFonts w:ascii="Times New Roman"/>
          <w:b w:val="false"/>
          <w:i w:val="false"/>
          <w:color w:val="000000"/>
          <w:sz w:val="28"/>
        </w:rPr>
        <w:t>
</w:t>
      </w:r>
      <w:r>
        <w:rPr>
          <w:rFonts w:ascii="Times New Roman"/>
          <w:b w:val="false"/>
          <w:i w:val="false"/>
          <w:color w:val="000000"/>
          <w:sz w:val="28"/>
        </w:rPr>
        <w:t>
      4. Дополнить статьей 2</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9"/>
    <w:p>
      <w:pPr>
        <w:spacing w:after="0"/>
        <w:ind w:left="0"/>
        <w:jc w:val="left"/>
      </w:pPr>
      <w:r>
        <w:rPr>
          <w:rFonts w:ascii="Times New Roman"/>
          <w:b/>
          <w:i w:val="false"/>
          <w:color w:val="000000"/>
        </w:rPr>
        <w:t xml:space="preserve"> «Статья 2</w:t>
      </w:r>
      <w:r>
        <w:rPr>
          <w:rFonts w:ascii="Times New Roman"/>
          <w:b/>
          <w:i w:val="false"/>
          <w:color w:val="000000"/>
          <w:vertAlign w:val="superscript"/>
        </w:rPr>
        <w:t>1</w:t>
      </w:r>
    </w:p>
    <w:bookmarkStart w:name="z20" w:id="10"/>
    <w:p>
      <w:pPr>
        <w:spacing w:after="0"/>
        <w:ind w:left="0"/>
        <w:jc w:val="both"/>
      </w:pPr>
      <w:r>
        <w:rPr>
          <w:rFonts w:ascii="Times New Roman"/>
          <w:b w:val="false"/>
          <w:i w:val="false"/>
          <w:color w:val="000000"/>
          <w:sz w:val="28"/>
        </w:rPr>
        <w:t>      Предварительная информация представляется одним из следующих способов:</w:t>
      </w:r>
      <w:r>
        <w:br/>
      </w:r>
      <w:r>
        <w:rPr>
          <w:rFonts w:ascii="Times New Roman"/>
          <w:b w:val="false"/>
          <w:i w:val="false"/>
          <w:color w:val="000000"/>
          <w:sz w:val="28"/>
        </w:rPr>
        <w:t>
      с использованием информационных ресурсов сети Интернет;</w:t>
      </w:r>
      <w:r>
        <w:br/>
      </w:r>
      <w:r>
        <w:rPr>
          <w:rFonts w:ascii="Times New Roman"/>
          <w:b w:val="false"/>
          <w:i w:val="false"/>
          <w:color w:val="000000"/>
          <w:sz w:val="28"/>
        </w:rPr>
        <w:t>
      путем взаимодействия информационной системы таможенного органа государства Стороны и информационных систем заинтересованных лиц в соответствии с утвержденными техническими требованиями;</w:t>
      </w:r>
      <w:r>
        <w:br/>
      </w:r>
      <w:r>
        <w:rPr>
          <w:rFonts w:ascii="Times New Roman"/>
          <w:b w:val="false"/>
          <w:i w:val="false"/>
          <w:color w:val="000000"/>
          <w:sz w:val="28"/>
        </w:rPr>
        <w:t>
      иным способом, установленным решением Комиссии.</w:t>
      </w:r>
      <w:r>
        <w:br/>
      </w:r>
      <w:r>
        <w:rPr>
          <w:rFonts w:ascii="Times New Roman"/>
          <w:b w:val="false"/>
          <w:i w:val="false"/>
          <w:color w:val="000000"/>
          <w:sz w:val="28"/>
        </w:rPr>
        <w:t>
      Структура и формат предварительной информации, а также требования к структуре кода УИНП определяются решением Комиссии.</w:t>
      </w:r>
      <w:r>
        <w:br/>
      </w:r>
      <w:r>
        <w:rPr>
          <w:rFonts w:ascii="Times New Roman"/>
          <w:b w:val="false"/>
          <w:i w:val="false"/>
          <w:color w:val="000000"/>
          <w:sz w:val="28"/>
        </w:rPr>
        <w:t>
      Технические требования разрабатываются, утверждаются и публикуются центральными таможенными органами государств Сторон.».</w:t>
      </w:r>
      <w:r>
        <w:br/>
      </w:r>
      <w:r>
        <w:rPr>
          <w:rFonts w:ascii="Times New Roman"/>
          <w:b w:val="false"/>
          <w:i w:val="false"/>
          <w:color w:val="000000"/>
          <w:sz w:val="28"/>
        </w:rPr>
        <w:t>
      5. </w:t>
      </w:r>
      <w:r>
        <w:rPr>
          <w:rFonts w:ascii="Times New Roman"/>
          <w:b w:val="false"/>
          <w:i w:val="false"/>
          <w:color w:val="000000"/>
          <w:sz w:val="28"/>
        </w:rPr>
        <w:t>Статьи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10"/>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Обязательность представления предварительной информации в зависимости от вида транспорта определяется решением Комиссии, которое вступает в силу не ранее чем по истечении ста восьмидесяти календарных дней с даты его официального опубликования.</w:t>
      </w:r>
      <w:r>
        <w:br/>
      </w:r>
      <w:r>
        <w:rPr>
          <w:rFonts w:ascii="Times New Roman"/>
          <w:b w:val="false"/>
          <w:i w:val="false"/>
          <w:color w:val="000000"/>
          <w:sz w:val="28"/>
        </w:rPr>
        <w:t>
      Обязательное представление предварительной информации не требуется в отношении:</w:t>
      </w:r>
      <w:r>
        <w:br/>
      </w:r>
      <w:r>
        <w:rPr>
          <w:rFonts w:ascii="Times New Roman"/>
          <w:b w:val="false"/>
          <w:i w:val="false"/>
          <w:color w:val="000000"/>
          <w:sz w:val="28"/>
        </w:rPr>
        <w:t>
      товаров, в том числе транспортных средств, перемещаемых физическими лицами для личного пользования;</w:t>
      </w:r>
      <w:r>
        <w:br/>
      </w:r>
      <w:r>
        <w:rPr>
          <w:rFonts w:ascii="Times New Roman"/>
          <w:b w:val="false"/>
          <w:i w:val="false"/>
          <w:color w:val="000000"/>
          <w:sz w:val="28"/>
        </w:rPr>
        <w:t>
      товаров, пересылаемых в международных почтовых отправлениях;</w:t>
      </w:r>
      <w:r>
        <w:br/>
      </w:r>
      <w:r>
        <w:rPr>
          <w:rFonts w:ascii="Times New Roman"/>
          <w:b w:val="false"/>
          <w:i w:val="false"/>
          <w:color w:val="000000"/>
          <w:sz w:val="28"/>
        </w:rPr>
        <w:t>
      товаров, в том числе транспортных средств, перемещаемых отдельными категориями иностранных лиц в соответствии с </w:t>
      </w:r>
      <w:r>
        <w:rPr>
          <w:rFonts w:ascii="Times New Roman"/>
          <w:b w:val="false"/>
          <w:i w:val="false"/>
          <w:color w:val="000000"/>
          <w:sz w:val="28"/>
        </w:rPr>
        <w:t>главой 45</w:t>
      </w:r>
      <w:r>
        <w:rPr>
          <w:rFonts w:ascii="Times New Roman"/>
          <w:b w:val="false"/>
          <w:i w:val="false"/>
          <w:color w:val="000000"/>
          <w:sz w:val="28"/>
        </w:rPr>
        <w:t xml:space="preserve"> Таможенного кодекса Таможенного союза;</w:t>
      </w:r>
      <w:r>
        <w:br/>
      </w:r>
      <w:r>
        <w:rPr>
          <w:rFonts w:ascii="Times New Roman"/>
          <w:b w:val="false"/>
          <w:i w:val="false"/>
          <w:color w:val="000000"/>
          <w:sz w:val="28"/>
        </w:rPr>
        <w:t>
      товаров, в том числе транспортных средств, перемещаемых для ликвидации последствий стихийных бедствий, аварий и катастроф;</w:t>
      </w:r>
      <w:r>
        <w:br/>
      </w:r>
      <w:r>
        <w:rPr>
          <w:rFonts w:ascii="Times New Roman"/>
          <w:b w:val="false"/>
          <w:i w:val="false"/>
          <w:color w:val="000000"/>
          <w:sz w:val="28"/>
        </w:rPr>
        <w:t>
      воинских грузов, статус которых подтверждается пропуском (воинским пропуском), выданным министерством обороны государства Стороны;</w:t>
      </w:r>
      <w:r>
        <w:br/>
      </w:r>
      <w:r>
        <w:rPr>
          <w:rFonts w:ascii="Times New Roman"/>
          <w:b w:val="false"/>
          <w:i w:val="false"/>
          <w:color w:val="000000"/>
          <w:sz w:val="28"/>
        </w:rPr>
        <w:t>
      товаров, предполагаемых к помещению под специальную таможенную процедуру в месте прибытия;</w:t>
      </w:r>
      <w:r>
        <w:br/>
      </w:r>
      <w:r>
        <w:rPr>
          <w:rFonts w:ascii="Times New Roman"/>
          <w:b w:val="false"/>
          <w:i w:val="false"/>
          <w:color w:val="000000"/>
          <w:sz w:val="28"/>
        </w:rPr>
        <w:t>
      товаров, перемещаемых с применением карнетов АТА, предполагаемых к помещению под таможенную процедуру временного ввоза (допуска) в месте прибытия;</w:t>
      </w:r>
      <w:r>
        <w:br/>
      </w:r>
      <w:r>
        <w:rPr>
          <w:rFonts w:ascii="Times New Roman"/>
          <w:b w:val="false"/>
          <w:i w:val="false"/>
          <w:color w:val="000000"/>
          <w:sz w:val="28"/>
        </w:rPr>
        <w:t>
      товаров Таможенного союза, перемещаемых через таможенную границу Таможенного союза;</w:t>
      </w:r>
      <w:r>
        <w:br/>
      </w:r>
      <w:r>
        <w:rPr>
          <w:rFonts w:ascii="Times New Roman"/>
          <w:b w:val="false"/>
          <w:i w:val="false"/>
          <w:color w:val="000000"/>
          <w:sz w:val="28"/>
        </w:rPr>
        <w:t>
      припасов (в случаях, определенных решением Комиссии).</w:t>
      </w:r>
      <w:r>
        <w:br/>
      </w:r>
      <w:r>
        <w:rPr>
          <w:rFonts w:ascii="Times New Roman"/>
          <w:b w:val="false"/>
          <w:i w:val="false"/>
          <w:color w:val="000000"/>
          <w:sz w:val="28"/>
        </w:rPr>
        <w:t xml:space="preserve">
      Решением Комиссии могут устанавливаться случаи, когда не требуется обязательное представление предварительной информации в отношении товаров, перемещаемых через таможенную границу Таможенного союза воздушным транспортом. </w:t>
      </w:r>
    </w:p>
    <w:p>
      <w:pPr>
        <w:spacing w:after="0"/>
        <w:ind w:left="0"/>
        <w:jc w:val="left"/>
      </w:pPr>
      <w:r>
        <w:rPr>
          <w:rFonts w:ascii="Times New Roman"/>
          <w:b/>
          <w:i w:val="false"/>
          <w:color w:val="000000"/>
        </w:rPr>
        <w:t xml:space="preserve"> Статья 4</w:t>
      </w:r>
    </w:p>
    <w:bookmarkStart w:name="z21" w:id="11"/>
    <w:p>
      <w:pPr>
        <w:spacing w:after="0"/>
        <w:ind w:left="0"/>
        <w:jc w:val="both"/>
      </w:pPr>
      <w:r>
        <w:rPr>
          <w:rFonts w:ascii="Times New Roman"/>
          <w:b w:val="false"/>
          <w:i w:val="false"/>
          <w:color w:val="000000"/>
          <w:sz w:val="28"/>
        </w:rPr>
        <w:t>      Предварительная информация представляется на языке государства Стороны.</w:t>
      </w:r>
      <w:r>
        <w:br/>
      </w:r>
      <w:r>
        <w:rPr>
          <w:rFonts w:ascii="Times New Roman"/>
          <w:b w:val="false"/>
          <w:i w:val="false"/>
          <w:color w:val="000000"/>
          <w:sz w:val="28"/>
        </w:rPr>
        <w:t>
      В предварительной информации допускается указание латинскими буквами:</w:t>
      </w:r>
      <w:r>
        <w:br/>
      </w:r>
      <w:r>
        <w:rPr>
          <w:rFonts w:ascii="Times New Roman"/>
          <w:b w:val="false"/>
          <w:i w:val="false"/>
          <w:color w:val="000000"/>
          <w:sz w:val="28"/>
        </w:rPr>
        <w:t>
      наименований и адресов отправителя, получателя, перевозчика, декларанта;</w:t>
      </w:r>
      <w:r>
        <w:br/>
      </w:r>
      <w:r>
        <w:rPr>
          <w:rFonts w:ascii="Times New Roman"/>
          <w:b w:val="false"/>
          <w:i w:val="false"/>
          <w:color w:val="000000"/>
          <w:sz w:val="28"/>
        </w:rPr>
        <w:t>
      индивидуальных характеристик товаров (товарный знак, артикул, модель, идентификационные номера и (или) знаки);</w:t>
      </w:r>
      <w:r>
        <w:br/>
      </w:r>
      <w:r>
        <w:rPr>
          <w:rFonts w:ascii="Times New Roman"/>
          <w:b w:val="false"/>
          <w:i w:val="false"/>
          <w:color w:val="000000"/>
          <w:sz w:val="28"/>
        </w:rPr>
        <w:t>
      индивидуальных характеристик транспортных средств (наименование, регистрационные (идентификационные) номера и (или) знаки, номер рейса);</w:t>
      </w:r>
      <w:r>
        <w:br/>
      </w:r>
      <w:r>
        <w:rPr>
          <w:rFonts w:ascii="Times New Roman"/>
          <w:b w:val="false"/>
          <w:i w:val="false"/>
          <w:color w:val="000000"/>
          <w:sz w:val="28"/>
        </w:rPr>
        <w:t>
      серий и (или) номеров документов;</w:t>
      </w:r>
      <w:r>
        <w:br/>
      </w:r>
      <w:r>
        <w:rPr>
          <w:rFonts w:ascii="Times New Roman"/>
          <w:b w:val="false"/>
          <w:i w:val="false"/>
          <w:color w:val="000000"/>
          <w:sz w:val="28"/>
        </w:rPr>
        <w:t>
      иных сведений, определенных решением Комиссии.».</w:t>
      </w:r>
      <w:r>
        <w:br/>
      </w:r>
      <w:r>
        <w:rPr>
          <w:rFonts w:ascii="Times New Roman"/>
          <w:b w:val="false"/>
          <w:i w:val="false"/>
          <w:color w:val="000000"/>
          <w:sz w:val="28"/>
        </w:rPr>
        <w:t>
      6.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End w:id="11"/>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Сроки обязательного представления предварительной информации устанавливаются решением Комиссии.</w:t>
      </w:r>
      <w:r>
        <w:br/>
      </w:r>
      <w:r>
        <w:rPr>
          <w:rFonts w:ascii="Times New Roman"/>
          <w:b w:val="false"/>
          <w:i w:val="false"/>
          <w:color w:val="000000"/>
          <w:sz w:val="28"/>
        </w:rPr>
        <w:t>
      В случае если обязательность представления предварительной информации не установлена, ее представление осуществляется не менее чем за два часа до перемещения через таможенную границу Таможенного союза, если иное не установлено законодательством государства Стороны.</w:t>
      </w:r>
      <w:r>
        <w:br/>
      </w:r>
      <w:r>
        <w:rPr>
          <w:rFonts w:ascii="Times New Roman"/>
          <w:b w:val="false"/>
          <w:i w:val="false"/>
          <w:color w:val="000000"/>
          <w:sz w:val="28"/>
        </w:rPr>
        <w:t>
      Направленная предварительная информация проверяется информационной системой таможенного органа государства Стороны на соответствие составу сведений, установленному в соответствии со статьей 2 настоящего Соглашения, а также установленным структуре и формату.</w:t>
      </w:r>
      <w:r>
        <w:br/>
      </w:r>
      <w:r>
        <w:rPr>
          <w:rFonts w:ascii="Times New Roman"/>
          <w:b w:val="false"/>
          <w:i w:val="false"/>
          <w:color w:val="000000"/>
          <w:sz w:val="28"/>
        </w:rPr>
        <w:t xml:space="preserve">
      При несоответствии предварительной информации составу сведений, структуре или формату заинтересованному лицу направляется электронное сообщение об отказе в принятии предварительной информации с указанием причин отказа. </w:t>
      </w:r>
      <w:r>
        <w:br/>
      </w:r>
      <w:r>
        <w:rPr>
          <w:rFonts w:ascii="Times New Roman"/>
          <w:b w:val="false"/>
          <w:i w:val="false"/>
          <w:color w:val="000000"/>
          <w:sz w:val="28"/>
        </w:rPr>
        <w:t>
      При соответствии предварительной информации составу сведений, структуре и формату предварительной информации присваивается УИНП и заинтересованному лицу направляется электронное сообщение, содержащее УИНП.</w:t>
      </w:r>
      <w:r>
        <w:br/>
      </w:r>
      <w:r>
        <w:rPr>
          <w:rFonts w:ascii="Times New Roman"/>
          <w:b w:val="false"/>
          <w:i w:val="false"/>
          <w:color w:val="000000"/>
          <w:sz w:val="28"/>
        </w:rPr>
        <w:t>
      Таможенный орган государства Стороны с использованием информационной системы производит анализ представленной предварительной информации.</w:t>
      </w:r>
      <w:r>
        <w:br/>
      </w:r>
      <w:r>
        <w:rPr>
          <w:rFonts w:ascii="Times New Roman"/>
          <w:b w:val="false"/>
          <w:i w:val="false"/>
          <w:color w:val="000000"/>
          <w:sz w:val="28"/>
        </w:rPr>
        <w:t>
      Особенности представления предварительной информации и присвоения УИНП в зависимости от вида транспорта определяются решением Комиссии.</w:t>
      </w:r>
      <w:r>
        <w:br/>
      </w:r>
      <w:r>
        <w:rPr>
          <w:rFonts w:ascii="Times New Roman"/>
          <w:b w:val="false"/>
          <w:i w:val="false"/>
          <w:color w:val="000000"/>
          <w:sz w:val="28"/>
        </w:rPr>
        <w:t>
      Предварительная информация хранится в базе данных предварительной информации в течение 30 календарных дней с даты присвоения УИНП, если иной срок хранения не установлен решением Комиссии.</w:t>
      </w:r>
      <w:r>
        <w:br/>
      </w:r>
      <w:r>
        <w:rPr>
          <w:rFonts w:ascii="Times New Roman"/>
          <w:b w:val="false"/>
          <w:i w:val="false"/>
          <w:color w:val="000000"/>
          <w:sz w:val="28"/>
        </w:rPr>
        <w:t>
      Если фактического ввоза товаров в пределах срока хранения предварительной информации не осуществлено, то данная предварительная информация аннулируется.</w:t>
      </w:r>
    </w:p>
    <w:p>
      <w:pPr>
        <w:spacing w:after="0"/>
        <w:ind w:left="0"/>
        <w:jc w:val="left"/>
      </w:pPr>
      <w:r>
        <w:rPr>
          <w:rFonts w:ascii="Times New Roman"/>
          <w:b/>
          <w:i w:val="false"/>
          <w:color w:val="000000"/>
        </w:rPr>
        <w:t xml:space="preserve"> Статья 8</w:t>
      </w:r>
    </w:p>
    <w:bookmarkStart w:name="z23" w:id="12"/>
    <w:p>
      <w:pPr>
        <w:spacing w:after="0"/>
        <w:ind w:left="0"/>
        <w:jc w:val="both"/>
      </w:pPr>
      <w:r>
        <w:rPr>
          <w:rFonts w:ascii="Times New Roman"/>
          <w:b w:val="false"/>
          <w:i w:val="false"/>
          <w:color w:val="000000"/>
          <w:sz w:val="28"/>
        </w:rPr>
        <w:t>      Для совершения таможенных операций перевозчик представляет УИНП таможенному органу государства Стороны, расположенному в месте перемещения товаров через таможенную границу Таможенного союза.</w:t>
      </w:r>
      <w:r>
        <w:br/>
      </w:r>
      <w:r>
        <w:rPr>
          <w:rFonts w:ascii="Times New Roman"/>
          <w:b w:val="false"/>
          <w:i w:val="false"/>
          <w:color w:val="000000"/>
          <w:sz w:val="28"/>
        </w:rPr>
        <w:t>
      После представления перевозчиком УИНП должностное лицо таможенного органа государства Стороны совершает следующие таможенные операции:</w:t>
      </w:r>
      <w:r>
        <w:br/>
      </w:r>
      <w:r>
        <w:rPr>
          <w:rFonts w:ascii="Times New Roman"/>
          <w:b w:val="false"/>
          <w:i w:val="false"/>
          <w:color w:val="000000"/>
          <w:sz w:val="28"/>
        </w:rPr>
        <w:t>
      запрашивает посредством программных средств содержащуюся в базах данных таможенных органов государств Сторон предварительную информацию, соответствующую данному УИНП;</w:t>
      </w:r>
      <w:r>
        <w:br/>
      </w:r>
      <w:r>
        <w:rPr>
          <w:rFonts w:ascii="Times New Roman"/>
          <w:b w:val="false"/>
          <w:i w:val="false"/>
          <w:color w:val="000000"/>
          <w:sz w:val="28"/>
        </w:rPr>
        <w:t>
      сравнивает сведения, содержащиеся в представленных перевозчиком транспортных (перевозочных) и коммерческих документах, с представленной предварительной информацией;</w:t>
      </w:r>
      <w:r>
        <w:br/>
      </w:r>
      <w:r>
        <w:rPr>
          <w:rFonts w:ascii="Times New Roman"/>
          <w:b w:val="false"/>
          <w:i w:val="false"/>
          <w:color w:val="000000"/>
          <w:sz w:val="28"/>
        </w:rPr>
        <w:t>
      проверяет соблюдение запретов и ограничений;</w:t>
      </w:r>
      <w:r>
        <w:br/>
      </w:r>
      <w:r>
        <w:rPr>
          <w:rFonts w:ascii="Times New Roman"/>
          <w:b w:val="false"/>
          <w:i w:val="false"/>
          <w:color w:val="000000"/>
          <w:sz w:val="28"/>
        </w:rPr>
        <w:t>
      выполняет иные действия, установленные таможенным законодательством Таможенного союза и законодательством государства Стороны.</w:t>
      </w:r>
      <w:r>
        <w:br/>
      </w:r>
      <w:r>
        <w:rPr>
          <w:rFonts w:ascii="Times New Roman"/>
          <w:b w:val="false"/>
          <w:i w:val="false"/>
          <w:color w:val="000000"/>
          <w:sz w:val="28"/>
        </w:rPr>
        <w:t>
      В случае непредставления перевозчиком таможенному органу государства Стороны УИНП, а также несоответствия предварительной информации сведениям, содержащимся в представленных перевозчиком транспортных (перевозочных) и коммерческих документах, таможенный орган принимает меры и совершает таможенные операции в соответствии с таможенным законодательством Таможенного союза и (или) законодательством государства Стороны.».</w:t>
      </w:r>
      <w:r>
        <w:br/>
      </w:r>
      <w:r>
        <w:rPr>
          <w:rFonts w:ascii="Times New Roman"/>
          <w:b w:val="false"/>
          <w:i w:val="false"/>
          <w:color w:val="000000"/>
          <w:sz w:val="28"/>
        </w:rPr>
        <w:t>
      8. </w:t>
      </w:r>
      <w:r>
        <w:rPr>
          <w:rFonts w:ascii="Times New Roman"/>
          <w:b w:val="false"/>
          <w:i w:val="false"/>
          <w:color w:val="000000"/>
          <w:sz w:val="28"/>
        </w:rPr>
        <w:t>Статьи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12"/>
    <w:p>
      <w:pPr>
        <w:spacing w:after="0"/>
        <w:ind w:left="0"/>
        <w:jc w:val="left"/>
      </w:pPr>
      <w:r>
        <w:rPr>
          <w:rFonts w:ascii="Times New Roman"/>
          <w:b/>
          <w:i w:val="false"/>
          <w:color w:val="000000"/>
        </w:rPr>
        <w:t xml:space="preserve"> «Статья 11</w:t>
      </w:r>
    </w:p>
    <w:bookmarkStart w:name="z25" w:id="13"/>
    <w:p>
      <w:pPr>
        <w:spacing w:after="0"/>
        <w:ind w:left="0"/>
        <w:jc w:val="both"/>
      </w:pPr>
      <w:r>
        <w:rPr>
          <w:rFonts w:ascii="Times New Roman"/>
          <w:b w:val="false"/>
          <w:i w:val="false"/>
          <w:color w:val="000000"/>
          <w:sz w:val="28"/>
        </w:rPr>
        <w:t>      Получаемая в соответствии с настоящим Соглашением предварительная информация носит конфиденциальный характер и используется для таможенных целей и проведения иных видов государственного контроля в местах перемещения товаров через таможенную границу Таможенного союза.</w:t>
      </w:r>
      <w:r>
        <w:br/>
      </w:r>
      <w:r>
        <w:rPr>
          <w:rFonts w:ascii="Times New Roman"/>
          <w:b w:val="false"/>
          <w:i w:val="false"/>
          <w:color w:val="000000"/>
          <w:sz w:val="28"/>
        </w:rPr>
        <w:t>
      Предварительная информация может передаваться государственным органам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8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3</w:t>
      </w:r>
      <w:r>
        <w:rPr>
          <w:rFonts w:ascii="Times New Roman"/>
          <w:b w:val="false"/>
          <w:i w:val="false"/>
          <w:color w:val="000000"/>
          <w:sz w:val="28"/>
        </w:rPr>
        <w:t xml:space="preserve"> статьи 14 и абзаце четвертом </w:t>
      </w:r>
      <w:r>
        <w:rPr>
          <w:rFonts w:ascii="Times New Roman"/>
          <w:b w:val="false"/>
          <w:i w:val="false"/>
          <w:color w:val="000000"/>
          <w:sz w:val="28"/>
        </w:rPr>
        <w:t>статьи 16</w:t>
      </w:r>
      <w:r>
        <w:rPr>
          <w:rFonts w:ascii="Times New Roman"/>
          <w:b w:val="false"/>
          <w:i w:val="false"/>
          <w:color w:val="000000"/>
          <w:sz w:val="28"/>
        </w:rPr>
        <w:t xml:space="preserve"> слова «таможенного союза» исключить.</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