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20cf" w14:textId="fbc2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решения Совета Евразийской экономической комиссии "О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января 2014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 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 »      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№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перечень категорий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которых может быть установлена специальная таможенная</w:t>
      </w:r>
      <w:r>
        <w:br/>
      </w:r>
      <w:r>
        <w:rPr>
          <w:rFonts w:ascii="Times New Roman"/>
          <w:b/>
          <w:i w:val="false"/>
          <w:color w:val="000000"/>
        </w:rPr>
        <w:t>
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202 Таможенного кодекса Таможенного союза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 329, изменение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187"/>
        <w:gridCol w:w="187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С. 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 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г. №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перечень категорий товаров,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
может быть установлена специальная таможенная процедура,</w:t>
      </w:r>
      <w:r>
        <w:br/>
      </w:r>
      <w:r>
        <w:rPr>
          <w:rFonts w:ascii="Times New Roman"/>
          <w:b/>
          <w:i w:val="false"/>
          <w:color w:val="000000"/>
        </w:rPr>
        <w:t>
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 Товары, предназначенные для использования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и указанные в Перечне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утвержденном Решением Комиссии Таможенного союза от 22 июня 2011 г. № 727, помещаются под специальную таможенную процедуру без уплаты таможенных пошлин, налогов, а также без применения запретов 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помещения товаров, указанных в части первой настоящего пункта, под специальную таможенную процедуру является представление в таможенный орган государства – члена Таможенного союза, осуществляющего запуск космических аппаратов, подтверждения уполномоченного в области космической деятельности органа государственной власти этого государства (далее в настоящем пункте – уполномоченный орган) о целевом назначении товаров, предназначенных для использования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с указанием наименования организации, которая в соответствии со статьей 186 Таможенного кодекса Таможенного союза выступает декларантом таких товаров и в адрес которой они перемещаются, запланированных срока их ввоза на таможенную территорию Таможенного союза и срока запуска космических аппаратов, перечня товаров, содержащего сведения о наименовании, количестве товаров и их статистической стоимости в долларах США (далее в настоящем пункте – подтверждение о целевом назначении).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указанные в части первой настоящего пункта, помещаются под специальную таможенную процедуру на территории государства – члена Таможенного союза, уполномоченным органом которого выдано подтверждение о целевом назначении.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товары, помещенные под специальную таможенную процедуру, помещаются в соответствии с Таможенным кодексом Таможенного союза под иную таможенную процедуру, в том числе допускающую их вывоз с таможенной территории Таможенного союза, в сроки, установленные  таможенным органом государства – члена Таможенного союза, уполномоченным органом которого выдано подтверждение о целевом назначении, исходя из заявленных декларантом целей и сроков использования таких товаров и в соответствии с частью шестой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установленные частью четвертой настоящего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применяются к указанным в части первой настоящего пункта товарам, использованным (израсходованным), полностью потребленным и (или) уничтоженным при подготовке и проведении запуска космических аппаратов, при представлении в таможенный орган государства – члена Таможенного союза, уполномоченным органом которого выдано подтверждение о целевом назначении, документов, подтверждающих запуск космических аппаратов, с приложением заверенного уполномоченным органом перечня товаров, содержащего сведения о наименованиях и количестве товаров, использованных (израсходованных), полностью потребленных и (или) уничтоженных при подготовке и проведении запуска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помещения под иную таможенную процедуру указанных в части первой настоящего пункта товаров, помещенных под специальную таможенную процедуру, за исключением использованных (израсходованных), полностью потребленных и (или) уничтоженных при подготовке и проведении запуска космических аппаратов, подается таможенная декларация на эти товары таможенному органу государства – члена Таможенного союза, уполномоченным органом которого выдано подтверждение о целевом назначении, в срок, не превышающий 6 месяцев со дня запуска космических аппаратов, а если такой запуск не состоялся, – в срок, не превышающий 6 месяцев со дня принятия решения об отмене запуска космических аппаратов.».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