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e74" w14:textId="ac8c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общей штатной численности и структуры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 пункта 2 статьи 12 Договора о Евразийском экономическом союзе, подписанного 29 мая 2014 года, и пунктами 7, 22 – 27 Статута Суда Евразийского экономического союза (приложение № 2 к указанному Договору)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общую 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структуру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40"/>
        <w:gridCol w:w="422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Общая штатная численность и 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Суда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Общая штатная численность и структура с изменениями, внесенными решениями Высшего Евразийского экономического совета от 02.01.2015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Договора о присоединении Республики Армения к Договору о Евразийском экономическом союзе от 29.05.2014, подписанного 10.10.2014); от 08.05.2015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Договора</w:t>
      </w:r>
      <w:r>
        <w:rPr>
          <w:rFonts w:ascii="Times New Roman"/>
          <w:b w:val="false"/>
          <w:i w:val="false"/>
          <w:color w:val="ff0000"/>
          <w:sz w:val="28"/>
        </w:rPr>
        <w:t xml:space="preserve"> о присоединении Кыргызской Республики к Договору о Евразийском экономическом союзе от 29.05.2014, подписанного 23.12.2014).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2"/>
        <w:gridCol w:w="3568"/>
      </w:tblGrid>
      <w:tr>
        <w:trPr>
          <w:trHeight w:val="30" w:hRule="atLeast"/>
        </w:trPr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в Суде Евразийского экономического союза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единиц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16"/>
        <w:gridCol w:w="3484"/>
      </w:tblGrid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Судьи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Суда Евразийского экономического союза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Секретариаты судей Суда Евразийского экономического союза</w:t>
            </w:r>
          </w:p>
        </w:tc>
      </w:tr>
      <w:tr>
        <w:trPr>
          <w:trHeight w:val="69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судьи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судьи 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секретариата судьи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секретариатов судей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Суда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секретариата - начальник отдела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Экспертно-аналитический отдел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по экспертно-аналитическому отделу Секретариата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финансовой и организационно-кадровой работы Секретариата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– главный бухгалтер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 кадровой работе и безопасности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по отделу финансовой и организационно-кадровой работы Секретариата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Секретариата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штатная численность Аппарата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штатная численность Суда Евразийского экономического союза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