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acd7" w14:textId="84da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(шкале) долевых взносов государств–членов Евразийского экономического союза в бюджет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пункта 2 статьи 12 и пунктом 1 статьи 20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целей формирования и исполнения бюджета Евразийского экономического союза на 2021 год и последующие годы размеры (шкалу) долевых взносов государств – членов Евразийского экономического союза (далее соответственно – государства-члены, Союз) в бюджет Союза в соответствии с нормативами распределения сумм ввозных таможенных пошлин для каждого государства-члена согласно Протоколу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- 1,220 процента;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- 4,860 процента;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- 6,955 процента;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- 1,900 процента;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- 85,065 процента.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Высшего Евразийского экономического совета от 08.05.2015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01.01.2016); от 31.05.2016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для целей формирования и исполнения бюджета Союза на 2016 год и далее решение об определении размеров (шкалы) долевых взносов государств-членов в бюджет Союза на первом заседании Высшего Евразийского экономического совета в 2015 году.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случае вступления нового государства-члена в Союз размеры (шкала) долевых взносов государств-членов в бюджет Союза подлежат уточнению и применяются для целей формирования и исполнения бюджета Союза начиная с года, следующего за годом вступления нового государства-члена в Союз.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нормативов распределения сумм ввозных таможенных пошлин для каждого государства-члена размеры (шкала) долевых взносов государств-членов в бюджет Союза подлежат уточнению и применяются для целей формирования и исполнения бюджета Союза начиная с года, следующего за годом, в котором осуществлено изменение нормативов.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Высшего Евразийского экономического совета от 31.05.2016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Договора о Евразийском экономическом союзе от 29 мая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