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dcaf" w14:textId="fecd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внесении изменения в Решение Высшего Евразийского экономического совета от 24 октября 2013 г. № 48"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2013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24 октября 2013 г. № 48»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1"/>
        <w:gridCol w:w="3339"/>
        <w:gridCol w:w="3340"/>
      </w:tblGrid>
      <w:tr>
        <w:trPr>
          <w:trHeight w:val="30" w:hRule="atLeast"/>
        </w:trPr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
 Высший Евразийский экономический совет Решение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  "             20 г.              №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Решение Высшего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совета от 24 октября 2013 г. № 48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24 октября 2013 г. № 48 «О мерах, предусмотренных приложением 6 к Договору о зоне свободной торговли от 18 октября 2011 года»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Установить, что одностороннее применение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государством – членом Таможенного союза и Единого экономического пространства пошлин в отношении товаров, импортируемых из соответствующего государства – участника Договора, согласно приложению 6 к Договору может осуществляться в размере ставки режима наибольшего благоприятствования в случае несогласия какого-либо из государств – членов Таможенного союза и Единого экономического пространства на применение меры в соответствии с пунктом 1 настоящего Решения.».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принятия.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20"/>
        <w:gridCol w:w="120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Высшего Евразийского экономического совета: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