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5c1b" w14:textId="7d55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ноября 2013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3.8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утвержденного Решением Комиссии Таможенного союза от 18 июня 2010 г. № 317, дополнить предложением следующего содержания: «Бланки этих ветеринарных сертификатов изготавливаются таким образом, чтобы свести к минимуму возможность их фальсификации (использование специальной бумаги, водяных знаков, наличие типографского номера и другие способы защиты).».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шести месяцев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