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0b5" w14:textId="b6fd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формировании в рамках Суда Евразийского экономического сообщества состава по рассмотрению дел о нарушениях правил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Высшего Евразийского экономического совета «О формировании в рамках Суда Евразийского экономического сообщества состава по рассмотрению дел о нарушениях правил конкуренции»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» 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формировании в рамках Суда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состава по рассмотрению дел о нарушениях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29 Соглашения о единых принципах и правилах конкуренции от 9 декабря 2010 года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в рамках Суда Евразийского экономического сообщества состав по рассмотрению дел о нарушениях правил конкуренции из числа назначенных судей государств – членов Таможенного союза и Единого экономического пространства.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2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