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d0b5" w14:textId="b6fd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формировании в рамках Суда Евразийского экономического сообщества состава по рассмотрению дел о нарушениях правил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октября 2013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проект решения Высшего Евразийского экономического совета «О формировании в рамках Суда Евразийского экономического сообщества состава по рассмотрению дел о нарушениях правил конкуренции»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ВЫСШИЙ ЕВРАЗИЙСКИЙ ЭКОНОМИЧЕСКИЙ СОВЕТ 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  »       20     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формировании в рамках Суда 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
состава по рассмотрению дел о нарушениях правил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статьи 29 Соглашения о единых принципах и правилах конкуренции от 9 декабря 2010 года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Сформировать в рамках Суда Евразийского экономического сообщества состав по рассмотрению дел о нарушениях правил конкуренции из числа назначенных судей государств – членов Таможенного союза и Единого экономического пространства.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29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