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012e" w14:textId="3bc0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решений Высшего Евразийского экономического совета от 19 декабря 2012 г. № 21 и от 29 мая 2013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ходе реализации Решения Высшего Евразийского экономического совета от 19 декабря 2012 г. 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основных направлений интеграции» и Решения Высшего Евразийского экономического совета от 29 мая 2013 г. 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направлениях дальнейшего развития интеграционных процессов»,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государств – членов Таможенного союза и Единого экономического пространства поручить министерствам иностранных дел разработать институциональную часть проекта Договора о Евразийском экономическом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в срок до 15 июля 2013 г. направить государствам – членам Таможенного союза и Единого экономического пространства предварительный список изъятий и иных ограничений, в том числе барьеров, взаимного доступа субъектов предпринимательской деятельности на рынок государств – членов Таможенного союза и Единого экономического пространства (далее – Список), составленных на основе 17 соглашений Единого экономического пространства, Таможенного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других договоренностей по формированию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Просить правительства государств – членов Таможенного союза и Единого экономического пространства рассмотреть указанный Список и в срок до 15 августа 2013 г. представить предложения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