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012e" w14:textId="3bc0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решений Высшего Евразийского экономического совета от 19 декабря 2012 г. № 21 и от 29 мая 2013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июля 2013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ходе реализации Решения Высшего Евразийского экономического совета от 19 декабря 2012 г. 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основных направлений интеграции» и Решения Высшего Евразийского экономического совета от 29 мая 2013 г. 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направлениях дальнейшего развития интеграционных процессов»,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правительства государств – членов Таможенного союза и Единого экономического пространства поручить министерствам иностранных дел разработать институциональную часть проекта Договора о Евразийском экономическом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в срок до 15 июля 2013 г. направить государствам – членам Таможенного союза и Единого экономического пространства предварительный список изъятий и иных ограничений, в том числе барьеров, взаимного доступа субъектов предпринимательской деятельности на рынок государств – членов Таможенного союза и Единого экономического пространства (далее – Список), составленных на основе 17 соглашений Единого экономического пространства, Таможенного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других договоренностей по формированию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Просить правительства государств – членов Таможенного союза и Единого экономического пространства рассмотреть указанный Список и в срок до 15 августа 2013 г. представить предложения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