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dff4" w14:textId="918d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сфер естественных монополий в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февраля 2013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регулирования деятельности субъектов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2010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Регламенту работы Евразийской экономической комиссии, утвержденному Решением Высшего Евразийского экономического совета от 18 ноября 2011 г. № 1, и приняв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сведению информацию Российской Федерации,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Отнести к сферам естественных монополий в Российской Федерации ледокольную проводку судов и ледовую лоцманскую проводку судов в акватории Северного морского пути.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