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1dbd" w14:textId="949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колесных транспортных средств" (ТР ТС 018/2011)</w:t>
      </w:r>
    </w:p>
    <w:p>
      <w:pPr>
        <w:spacing w:after="0"/>
        <w:ind w:left="0"/>
        <w:jc w:val="both"/>
      </w:pPr>
      <w:r>
        <w:rPr>
          <w:rFonts w:ascii="Times New Roman"/>
          <w:b w:val="false"/>
          <w:i w:val="false"/>
          <w:color w:val="000000"/>
          <w:sz w:val="28"/>
        </w:rPr>
        <w:t>Решение Совета Евразийской экономической комиссии от 30 января 2013 года № 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технический регламент Таможенного союза «О безопасности колесных транспортных средств» (ТР ТС 018/2011),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877,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30 января 2013 г. № 6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которые вносятся в технический регламент Таможенного союза «О безопасности колесных транспортных средств» (ТР ТС 018/2011)</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абзаца четвертого дополнить абзацем следующего содержания:</w:t>
      </w:r>
      <w:r>
        <w:br/>
      </w:r>
      <w:r>
        <w:rPr>
          <w:rFonts w:ascii="Times New Roman"/>
          <w:b w:val="false"/>
          <w:i w:val="false"/>
          <w:color w:val="000000"/>
          <w:sz w:val="28"/>
        </w:rPr>
        <w:t>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r>
        <w:br/>
      </w:r>
      <w:r>
        <w:rPr>
          <w:rFonts w:ascii="Times New Roman"/>
          <w:b w:val="false"/>
          <w:i w:val="false"/>
          <w:color w:val="000000"/>
          <w:sz w:val="28"/>
        </w:rPr>
        <w:t>
</w:t>
      </w:r>
      <w:r>
        <w:rPr>
          <w:rFonts w:ascii="Times New Roman"/>
          <w:b w:val="false"/>
          <w:i w:val="false"/>
          <w:color w:val="000000"/>
          <w:sz w:val="28"/>
        </w:rPr>
        <w:t>
      абзац восемьдесят второй дополнить словами</w:t>
      </w:r>
      <w:r>
        <w:br/>
      </w:r>
      <w:r>
        <w:rPr>
          <w:rFonts w:ascii="Times New Roman"/>
          <w:b w:val="false"/>
          <w:i w:val="false"/>
          <w:color w:val="000000"/>
          <w:sz w:val="28"/>
        </w:rPr>
        <w:t>
      «, предназначенный для повышения пассивной безопасности транспортного средства путем фиксации положения водителя и пассажиров относительно кузова»;</w:t>
      </w:r>
      <w:r>
        <w:br/>
      </w:r>
      <w:r>
        <w:rPr>
          <w:rFonts w:ascii="Times New Roman"/>
          <w:b w:val="false"/>
          <w:i w:val="false"/>
          <w:color w:val="000000"/>
          <w:sz w:val="28"/>
        </w:rPr>
        <w:t>
</w:t>
      </w:r>
      <w:r>
        <w:rPr>
          <w:rFonts w:ascii="Times New Roman"/>
          <w:b w:val="false"/>
          <w:i w:val="false"/>
          <w:color w:val="000000"/>
          <w:sz w:val="28"/>
        </w:rPr>
        <w:t>
      после абзаца сто второго дополнить абзацем следующего содержания:</w:t>
      </w:r>
      <w:r>
        <w:br/>
      </w:r>
      <w:r>
        <w:rPr>
          <w:rFonts w:ascii="Times New Roman"/>
          <w:b w:val="false"/>
          <w:i w:val="false"/>
          <w:color w:val="000000"/>
          <w:sz w:val="28"/>
        </w:rPr>
        <w:t>
      «система вызова экстренных оперативных служб» - система, выполняющая функции устройства вызова экстренных оперативных служб, обеспечивающая передачу сообщения о транспортном средстве при дорожно-транспортном и ином происшествиях в автоматическом режиме;»;</w:t>
      </w:r>
      <w:r>
        <w:br/>
      </w:r>
      <w:r>
        <w:rPr>
          <w:rFonts w:ascii="Times New Roman"/>
          <w:b w:val="false"/>
          <w:i w:val="false"/>
          <w:color w:val="000000"/>
          <w:sz w:val="28"/>
        </w:rPr>
        <w:t>
</w:t>
      </w:r>
      <w:r>
        <w:rPr>
          <w:rFonts w:ascii="Times New Roman"/>
          <w:b w:val="false"/>
          <w:i w:val="false"/>
          <w:color w:val="000000"/>
          <w:sz w:val="28"/>
        </w:rPr>
        <w:t>
      после абзаца сто сорок первого дополнить абзацем следующего содержания:</w:t>
      </w:r>
      <w:r>
        <w:br/>
      </w:r>
      <w:r>
        <w:rPr>
          <w:rFonts w:ascii="Times New Roman"/>
          <w:b w:val="false"/>
          <w:i w:val="false"/>
          <w:color w:val="000000"/>
          <w:sz w:val="28"/>
        </w:rPr>
        <w:t>
      «устройство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и ином происшествиях в ручном режиме и двустороннюю голосовую связь с экстренными оперативными службами по сетям подвижной радиотелефонной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(или)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должна обеспечивать возможность оснащения их указанной аппаратурой.</w:t>
      </w:r>
      <w:r>
        <w:br/>
      </w:r>
      <w:r>
        <w:rPr>
          <w:rFonts w:ascii="Times New Roman"/>
          <w:b w:val="false"/>
          <w:i w:val="false"/>
          <w:color w:val="000000"/>
          <w:sz w:val="28"/>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 в порядке, установленном законодательством государств – членов Таможенного союза.</w:t>
      </w:r>
      <w:r>
        <w:br/>
      </w:r>
      <w:r>
        <w:rPr>
          <w:rFonts w:ascii="Times New Roman"/>
          <w:b w:val="false"/>
          <w:i w:val="false"/>
          <w:color w:val="000000"/>
          <w:sz w:val="28"/>
        </w:rPr>
        <w:t>
      Оснащение указанной аппаратурой транспортных средств, находящихся в эксплуатации, осуществляется в порядке, установленном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3. Дополнить пунктом 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Выпускаемые в обращение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94 и 95, и категории N</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95, оснащаются системой вызова экстренных оперативных служб, прочие выпускаемые в обращение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оснащаются устройством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Таблицу 4</w:t>
      </w:r>
      <w:r>
        <w:rPr>
          <w:rFonts w:ascii="Times New Roman"/>
          <w:b w:val="false"/>
          <w:i w:val="false"/>
          <w:color w:val="000000"/>
          <w:sz w:val="28"/>
        </w:rPr>
        <w:t xml:space="preserve"> приложения № 1 к указанному техническому регламенту дополнить позициями 117 и 118 следующего содержания:</w:t>
      </w:r>
      <w:r>
        <w:br/>
      </w:r>
      <w:r>
        <w:rPr>
          <w:rFonts w:ascii="Times New Roman"/>
          <w:b w:val="false"/>
          <w:i w:val="false"/>
          <w:color w:val="000000"/>
          <w:sz w:val="28"/>
        </w:rPr>
        <w:t>
      «117. Аппаратура спутниковой навигации</w:t>
      </w:r>
      <w:r>
        <w:br/>
      </w:r>
      <w:r>
        <w:rPr>
          <w:rFonts w:ascii="Times New Roman"/>
          <w:b w:val="false"/>
          <w:i w:val="false"/>
          <w:color w:val="000000"/>
          <w:sz w:val="28"/>
        </w:rPr>
        <w:t>
      118. Устройство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w:t>
      </w:r>
      <w:r>
        <w:rPr>
          <w:rFonts w:ascii="Times New Roman"/>
          <w:b w:val="false"/>
          <w:i w:val="false"/>
          <w:color w:val="000000"/>
          <w:sz w:val="28"/>
        </w:rPr>
        <w:t xml:space="preserve"> дополнить позициями 113 и 114 следующего содержания: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2990"/>
        <w:gridCol w:w="3406"/>
        <w:gridCol w:w="5047"/>
        <w:gridCol w:w="1547"/>
      </w:tblGrid>
      <w:tr>
        <w:trPr>
          <w:trHeight w:val="198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устройством вызова экстренных оперативных служб</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 не входящие в область применения Правил ЕЭК ООН № 94 и 95; N</w:t>
            </w:r>
            <w:r>
              <w:rPr>
                <w:rFonts w:ascii="Times New Roman"/>
                <w:b w:val="false"/>
                <w:i w:val="false"/>
                <w:color w:val="000000"/>
                <w:vertAlign w:val="subscript"/>
              </w:rPr>
              <w:t>1</w:t>
            </w:r>
            <w:r>
              <w:rPr>
                <w:rFonts w:ascii="Times New Roman"/>
                <w:b w:val="false"/>
                <w:i w:val="false"/>
                <w:color w:val="000000"/>
                <w:sz w:val="20"/>
              </w:rPr>
              <w:t xml:space="preserve">, не входящие </w:t>
            </w:r>
            <w:r>
              <w:br/>
            </w:r>
            <w:r>
              <w:rPr>
                <w:rFonts w:ascii="Times New Roman"/>
                <w:b w:val="false"/>
                <w:i w:val="false"/>
                <w:color w:val="000000"/>
                <w:sz w:val="20"/>
              </w:rPr>
              <w:t>
в область применения Правил ЕЭК ООН № 95,</w:t>
            </w:r>
            <w:r>
              <w:br/>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16 Приложения № 3 к настоящему техническому регламенту  (с 2015 г.)</w:t>
            </w:r>
            <w:r>
              <w:br/>
            </w:r>
            <w:r>
              <w:rPr>
                <w:rFonts w:ascii="Times New Roman"/>
                <w:b w:val="false"/>
                <w:i w:val="false"/>
                <w:color w:val="000000"/>
                <w:sz w:val="20"/>
              </w:rPr>
              <w:t>
(с 2016 г.)</w:t>
            </w:r>
            <w:r>
              <w:br/>
            </w:r>
            <w:r>
              <w:rPr>
                <w:rFonts w:ascii="Times New Roman"/>
                <w:b w:val="false"/>
                <w:i w:val="false"/>
                <w:color w:val="000000"/>
                <w:sz w:val="20"/>
              </w:rPr>
              <w:t>
(с 2017 г.)</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системой вызова экстренных оперативных служб</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 входящие в область применения Правил ЕЭК ООН № 94 и 95; N</w:t>
            </w:r>
            <w:r>
              <w:rPr>
                <w:rFonts w:ascii="Times New Roman"/>
                <w:b w:val="false"/>
                <w:i w:val="false"/>
                <w:color w:val="000000"/>
                <w:vertAlign w:val="subscript"/>
              </w:rPr>
              <w:t>1</w:t>
            </w:r>
            <w:r>
              <w:rPr>
                <w:rFonts w:ascii="Times New Roman"/>
                <w:b w:val="false"/>
                <w:i w:val="false"/>
                <w:color w:val="000000"/>
                <w:sz w:val="20"/>
              </w:rPr>
              <w:t xml:space="preserve">, входящие </w:t>
            </w:r>
            <w:r>
              <w:br/>
            </w:r>
            <w:r>
              <w:rPr>
                <w:rFonts w:ascii="Times New Roman"/>
                <w:b w:val="false"/>
                <w:i w:val="false"/>
                <w:color w:val="000000"/>
                <w:sz w:val="20"/>
              </w:rPr>
              <w:t>
в область применения Правил ЕЭК ООН № 95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17 Приложения № 3 к настоящему техническому регламенту  (с 2015 г.)</w:t>
            </w:r>
            <w:r>
              <w:br/>
            </w:r>
            <w:r>
              <w:rPr>
                <w:rFonts w:ascii="Times New Roman"/>
                <w:b w:val="false"/>
                <w:i w:val="false"/>
                <w:color w:val="000000"/>
                <w:sz w:val="20"/>
              </w:rPr>
              <w:t>
(с 2017 г.)</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bl>
    <w:bookmarkStart w:name="z16" w:id="4"/>
    <w:p>
      <w:pPr>
        <w:spacing w:after="0"/>
        <w:ind w:left="0"/>
        <w:jc w:val="both"/>
      </w:pPr>
      <w:r>
        <w:rPr>
          <w:rFonts w:ascii="Times New Roman"/>
          <w:b w:val="false"/>
          <w:i w:val="false"/>
          <w:color w:val="000000"/>
          <w:sz w:val="28"/>
        </w:rPr>
        <w:t xml:space="preserve">
      примечания дополнить пунктом 37 следующего содержания: </w:t>
      </w:r>
      <w:r>
        <w:br/>
      </w:r>
      <w:r>
        <w:rPr>
          <w:rFonts w:ascii="Times New Roman"/>
          <w:b w:val="false"/>
          <w:i w:val="false"/>
          <w:color w:val="000000"/>
          <w:sz w:val="28"/>
        </w:rPr>
        <w:t>
      «37) Требования распространяются на транспортные средства, используемые для коммерческой перевозки пассажиров, специально предназначенные для перевозки детей в возрасте от 6 до 16 лет и перевозки опасных грузов, твердых бытовых отходов и мусора (мусоровозы), а также на тягачи, используемые для буксировки прицепов, перевозящих опасные грузы.».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Приложение № 3</w:t>
      </w:r>
      <w:r>
        <w:rPr>
          <w:rFonts w:ascii="Times New Roman"/>
          <w:b w:val="false"/>
          <w:i w:val="false"/>
          <w:color w:val="000000"/>
          <w:sz w:val="28"/>
        </w:rPr>
        <w:t xml:space="preserve"> к указанному техническому регламенту дополнить пунктами 16 и 17 следующего содержания:</w:t>
      </w:r>
      <w:r>
        <w:br/>
      </w:r>
      <w:r>
        <w:rPr>
          <w:rFonts w:ascii="Times New Roman"/>
          <w:b w:val="false"/>
          <w:i w:val="false"/>
          <w:color w:val="000000"/>
          <w:sz w:val="28"/>
        </w:rPr>
        <w:t>
      «16. Требования к транспортным средствам в отношении установки  устройства вызова экстренных оперативных служб</w:t>
      </w:r>
      <w:r>
        <w:br/>
      </w:r>
      <w:r>
        <w:rPr>
          <w:rFonts w:ascii="Times New Roman"/>
          <w:b w:val="false"/>
          <w:i w:val="false"/>
          <w:color w:val="000000"/>
          <w:sz w:val="28"/>
        </w:rPr>
        <w:t>
      16.1.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ЕЭК ООН № 94 и 95, N</w:t>
      </w:r>
      <w:r>
        <w:rPr>
          <w:rFonts w:ascii="Times New Roman"/>
          <w:b w:val="false"/>
          <w:i w:val="false"/>
          <w:color w:val="000000"/>
          <w:vertAlign w:val="subscript"/>
        </w:rPr>
        <w:t>1</w:t>
      </w:r>
      <w:r>
        <w:rPr>
          <w:rFonts w:ascii="Times New Roman"/>
          <w:b w:val="false"/>
          <w:i w:val="false"/>
          <w:color w:val="000000"/>
          <w:sz w:val="28"/>
        </w:rPr>
        <w:t xml:space="preserve">, не входящие </w:t>
      </w:r>
      <w:r>
        <w:br/>
      </w:r>
      <w:r>
        <w:rPr>
          <w:rFonts w:ascii="Times New Roman"/>
          <w:b w:val="false"/>
          <w:i w:val="false"/>
          <w:color w:val="000000"/>
          <w:sz w:val="28"/>
        </w:rPr>
        <w:t>
в область применения Правил ЕЭК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–устройство), соответствующим требованиям пункта 118 приложения № 10 к настоящему техническому регламенту.</w:t>
      </w:r>
      <w:r>
        <w:br/>
      </w:r>
      <w:r>
        <w:rPr>
          <w:rFonts w:ascii="Times New Roman"/>
          <w:b w:val="false"/>
          <w:i w:val="false"/>
          <w:color w:val="000000"/>
          <w:sz w:val="28"/>
        </w:rPr>
        <w:t>
      16.2. Устройство должно обеспечивать:</w:t>
      </w:r>
      <w:r>
        <w:br/>
      </w:r>
      <w:r>
        <w:rPr>
          <w:rFonts w:ascii="Times New Roman"/>
          <w:b w:val="false"/>
          <w:i w:val="false"/>
          <w:color w:val="000000"/>
          <w:sz w:val="28"/>
        </w:rPr>
        <w:t>
      16.2.1. Передачу сообщения о транспортном средстве, его текущем местоположении, направлении и скорости движения после нажатия кнопки экстренного вызова, а с 1 января 2017 г. – также автоматически при опрокидывании транспортного средства;</w:t>
      </w:r>
      <w:r>
        <w:br/>
      </w:r>
      <w:r>
        <w:rPr>
          <w:rFonts w:ascii="Times New Roman"/>
          <w:b w:val="false"/>
          <w:i w:val="false"/>
          <w:color w:val="000000"/>
          <w:sz w:val="28"/>
        </w:rPr>
        <w:t>
      16.2.2. Двустороннюю громкую голосовую связь с экстренными оперативными службами через сети подвижной радиотелефонной связи.</w:t>
      </w:r>
      <w:r>
        <w:br/>
      </w:r>
      <w:r>
        <w:rPr>
          <w:rFonts w:ascii="Times New Roman"/>
          <w:b w:val="false"/>
          <w:i w:val="false"/>
          <w:color w:val="000000"/>
          <w:sz w:val="28"/>
        </w:rPr>
        <w:t>
      16.3. Кнопка вызова экстренных оперативных служб должна устанавливаться в месте, которое находится в зоне прямой видимости с места водителя и сидящего впереди пассажира – мужчин 50-перцентильного уровня репрезентативности (если конструкция транспортного средства предусматривает нахождение сидящего впереди пассажира рядом с местом водителя) и обеспечивает возможность досягаемости ими кнопки вызова без отсоединения ремней безопасности.</w:t>
      </w:r>
      <w:r>
        <w:br/>
      </w:r>
      <w:r>
        <w:rPr>
          <w:rFonts w:ascii="Times New Roman"/>
          <w:b w:val="false"/>
          <w:i w:val="false"/>
          <w:color w:val="000000"/>
          <w:sz w:val="28"/>
        </w:rPr>
        <w:t>
      16.4. Кнопка вызова экстренных оперативных служб должна иметь защиту от непреднамеренного нажатия механическим способом.</w:t>
      </w:r>
      <w:r>
        <w:br/>
      </w:r>
      <w:r>
        <w:rPr>
          <w:rFonts w:ascii="Times New Roman"/>
          <w:b w:val="false"/>
          <w:i w:val="false"/>
          <w:color w:val="000000"/>
          <w:sz w:val="28"/>
        </w:rPr>
        <w:t>
      16.5. Кнопка вызова экстренных оперативных служб должна быть обеспечена подсветкой.</w:t>
      </w:r>
      <w:r>
        <w:br/>
      </w:r>
      <w:r>
        <w:rPr>
          <w:rFonts w:ascii="Times New Roman"/>
          <w:b w:val="false"/>
          <w:i w:val="false"/>
          <w:color w:val="000000"/>
          <w:sz w:val="28"/>
        </w:rPr>
        <w:t xml:space="preserve">
      16.6. Оптический индикатор состояния устройства красного цвета постоянного (немигающего) свечения, видимый в том числе в светлое время суток, размещается в области прямой видимости с места водителя и сидящего впереди пассажира, удовлетворяющих критериям, установленным пунктом 16.3. Указанный индикатор включается: </w:t>
      </w:r>
      <w:r>
        <w:br/>
      </w:r>
      <w:r>
        <w:rPr>
          <w:rFonts w:ascii="Times New Roman"/>
          <w:b w:val="false"/>
          <w:i w:val="false"/>
          <w:color w:val="000000"/>
          <w:sz w:val="28"/>
        </w:rPr>
        <w:t>
      кратковременно (от 3 до 10 секунд) при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w:t>
      </w:r>
      <w:r>
        <w:br/>
      </w:r>
      <w:r>
        <w:rPr>
          <w:rFonts w:ascii="Times New Roman"/>
          <w:b w:val="false"/>
          <w:i w:val="false"/>
          <w:color w:val="000000"/>
          <w:sz w:val="28"/>
        </w:rPr>
        <w:t>
      при возникновении (наличии) неисправности в системе, не позволяющей выполнять требования пункта 16.2, и остается включенным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r>
        <w:br/>
      </w:r>
      <w:r>
        <w:rPr>
          <w:rFonts w:ascii="Times New Roman"/>
          <w:b w:val="false"/>
          <w:i w:val="false"/>
          <w:color w:val="000000"/>
          <w:sz w:val="28"/>
        </w:rPr>
        <w:t>
      Допускается отсутствие оптического индикатора, удовлетворяющего указанным требованиям, в случае обеспечения возможности подтверждения исправности устройства при каждой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 посредством использования другого оптического индикатора, а также выведения на комбинацию приборов текстового сообщения о неисправности устройства, которое сохраняется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r>
        <w:br/>
      </w:r>
      <w:r>
        <w:rPr>
          <w:rFonts w:ascii="Times New Roman"/>
          <w:b w:val="false"/>
          <w:i w:val="false"/>
          <w:color w:val="000000"/>
          <w:sz w:val="28"/>
        </w:rPr>
        <w:t>
      16.7. Кнопка вызова экстренных оперативных служб и индикатор состояния устройства должны иметь идентифицирующие их символы. Индикатор состояния устройства может конструктивно совмещаться с кнопкой вызова экстренных оперативных служб.</w:t>
      </w:r>
      <w:r>
        <w:br/>
      </w:r>
      <w:r>
        <w:rPr>
          <w:rFonts w:ascii="Times New Roman"/>
          <w:b w:val="false"/>
          <w:i w:val="false"/>
          <w:color w:val="000000"/>
          <w:sz w:val="28"/>
        </w:rPr>
        <w:t>
      17. Требования к транспортным средствам в отношении установки  системы вызова экстренных оперативных служб</w:t>
      </w:r>
      <w:r>
        <w:br/>
      </w:r>
      <w:r>
        <w:rPr>
          <w:rFonts w:ascii="Times New Roman"/>
          <w:b w:val="false"/>
          <w:i w:val="false"/>
          <w:color w:val="000000"/>
          <w:sz w:val="28"/>
        </w:rPr>
        <w:t>
      17.1.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94 и 95, и категории N</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95, должны комплектоваться системой вызова экстренных оперативных служб (далее – система), удовлетворяющей требованиям пунктов 16.2 – 16.7 настоящего приложения, а также пункта 118 приложения № 10 к настоящему техническому регламенту.</w:t>
      </w:r>
      <w:r>
        <w:br/>
      </w:r>
      <w:r>
        <w:rPr>
          <w:rFonts w:ascii="Times New Roman"/>
          <w:b w:val="false"/>
          <w:i w:val="false"/>
          <w:color w:val="000000"/>
          <w:sz w:val="28"/>
        </w:rPr>
        <w:t>
      17.2. Система должна дополнительно обеспечивать:</w:t>
      </w:r>
      <w:r>
        <w:br/>
      </w:r>
      <w:r>
        <w:rPr>
          <w:rFonts w:ascii="Times New Roman"/>
          <w:b w:val="false"/>
          <w:i w:val="false"/>
          <w:color w:val="000000"/>
          <w:sz w:val="28"/>
        </w:rPr>
        <w:t>
      17.2.1. Передачу сообщения о транспортном средстве автоматически при срабатывании подушки (подушек) безопасности или по сигналу датчика (датчиков) других компонентов системы пассивной безопасности либо других систем транспортного средства, определяющего (определяющих) уровень замедления транспортного средства при проведении испытаний, предусмотренных Правилами ЕЭК ООН № 94 и 95 (для транспортных средств, на которые распространяется действие указанных Правил. Для транспортных средств категории N1 вместо испытаний по Правилам ЕЭК ООН № 94 проводятся испытания по Правилам ЕЭК ООН № 12);</w:t>
      </w:r>
      <w:r>
        <w:br/>
      </w:r>
      <w:r>
        <w:rPr>
          <w:rFonts w:ascii="Times New Roman"/>
          <w:b w:val="false"/>
          <w:i w:val="false"/>
          <w:color w:val="000000"/>
          <w:sz w:val="28"/>
        </w:rPr>
        <w:t>
      17.2.2. После проведения указанных в пункте 17.2.1 испытаний сохранение работоспособности и двустороннюю голосовую связь с экстренными оперативными службами.</w:t>
      </w:r>
      <w:r>
        <w:br/>
      </w:r>
      <w:r>
        <w:rPr>
          <w:rFonts w:ascii="Times New Roman"/>
          <w:b w:val="false"/>
          <w:i w:val="false"/>
          <w:color w:val="000000"/>
          <w:sz w:val="28"/>
        </w:rPr>
        <w:t>
      17.3. В целях выполнения требований пункта 17.2.1 транспортные средства должны оснащаться, по меньшей мере, подушкой безопасности водителя.».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Приложение № 4</w:t>
      </w:r>
      <w:r>
        <w:rPr>
          <w:rFonts w:ascii="Times New Roman"/>
          <w:b w:val="false"/>
          <w:i w:val="false"/>
          <w:color w:val="000000"/>
          <w:sz w:val="28"/>
        </w:rPr>
        <w:t xml:space="preserve"> к указанному техническому регламенту дополнить пунктом 5 следующего содержания:</w:t>
      </w:r>
      <w:r>
        <w:br/>
      </w:r>
      <w:r>
        <w:rPr>
          <w:rFonts w:ascii="Times New Roman"/>
          <w:b w:val="false"/>
          <w:i w:val="false"/>
          <w:color w:val="000000"/>
          <w:sz w:val="28"/>
        </w:rPr>
        <w:t>
      «5. Требования к транспортным средствам в отношении установки устройства (системы) вызова экстренных оперативных служб</w:t>
      </w:r>
      <w:r>
        <w:br/>
      </w:r>
      <w:r>
        <w:rPr>
          <w:rFonts w:ascii="Times New Roman"/>
          <w:b w:val="false"/>
          <w:i w:val="false"/>
          <w:color w:val="000000"/>
          <w:sz w:val="28"/>
        </w:rPr>
        <w:t>
      5.1.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ЕЭК ООН № 94 и 95, категории N</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ЕЭК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 устройство), соответствующим требованиям пункта 118 приложения № 10 к настоящему техническому регламенту.</w:t>
      </w:r>
      <w:r>
        <w:br/>
      </w:r>
      <w:r>
        <w:rPr>
          <w:rFonts w:ascii="Times New Roman"/>
          <w:b w:val="false"/>
          <w:i w:val="false"/>
          <w:color w:val="000000"/>
          <w:sz w:val="28"/>
        </w:rPr>
        <w:t>
      Устройство должно обеспечивать выполнение требований, установленных пунктом 16 приложения № 3 к настоящему техническому регламенту.</w:t>
      </w:r>
      <w:r>
        <w:br/>
      </w:r>
      <w:r>
        <w:rPr>
          <w:rFonts w:ascii="Times New Roman"/>
          <w:b w:val="false"/>
          <w:i w:val="false"/>
          <w:color w:val="000000"/>
          <w:sz w:val="28"/>
        </w:rPr>
        <w:t>
      5.2.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94 и 95, и категории N</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ЕЭК ООН № 95, должны комплектоваться системой вызова экстренных оперативных служб (далее – система).</w:t>
      </w:r>
      <w:r>
        <w:br/>
      </w:r>
      <w:r>
        <w:rPr>
          <w:rFonts w:ascii="Times New Roman"/>
          <w:b w:val="false"/>
          <w:i w:val="false"/>
          <w:color w:val="000000"/>
          <w:sz w:val="28"/>
        </w:rPr>
        <w:t>
      Система должна обеспечивать выполнение требований, установленных пунктом 17 приложения № 3 к настоящему техническому регламенту.</w:t>
      </w:r>
      <w:r>
        <w:br/>
      </w:r>
      <w:r>
        <w:rPr>
          <w:rFonts w:ascii="Times New Roman"/>
          <w:b w:val="false"/>
          <w:i w:val="false"/>
          <w:color w:val="000000"/>
          <w:sz w:val="28"/>
        </w:rPr>
        <w:t>
      5.3. Требования, установленные пунктом 5 настоящего приложения, применяются:</w:t>
      </w:r>
      <w:r>
        <w:br/>
      </w:r>
      <w:r>
        <w:rPr>
          <w:rFonts w:ascii="Times New Roman"/>
          <w:b w:val="false"/>
          <w:i w:val="false"/>
          <w:color w:val="000000"/>
          <w:sz w:val="28"/>
        </w:rPr>
        <w:t>
      с 1 января 2016 г. – в отношении транспортных средств категорий М1, не входящих в область применения Правил ЕЭК ООН № 94 и 95, категории N</w:t>
      </w:r>
      <w:r>
        <w:rPr>
          <w:rFonts w:ascii="Times New Roman"/>
          <w:b w:val="false"/>
          <w:i w:val="false"/>
          <w:color w:val="000000"/>
          <w:vertAlign w:val="subscript"/>
        </w:rPr>
        <w:t>1</w:t>
      </w:r>
      <w:r>
        <w:rPr>
          <w:rFonts w:ascii="Times New Roman"/>
          <w:b w:val="false"/>
          <w:i w:val="false"/>
          <w:color w:val="000000"/>
          <w:sz w:val="28"/>
        </w:rPr>
        <w:t>, не входящих в область применения Правил ЕЭК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используемых для коммерческой перевозки пассажиров, специально предназначенных для перевозки детей в возрасте от 6 до 16 лет, а также для перевозки опасных грузов, тягачей, используемых для буксировки прицепов, перевозящих опасные грузы;</w:t>
      </w:r>
      <w:r>
        <w:br/>
      </w:r>
      <w:r>
        <w:rPr>
          <w:rFonts w:ascii="Times New Roman"/>
          <w:b w:val="false"/>
          <w:i w:val="false"/>
          <w:color w:val="000000"/>
          <w:sz w:val="28"/>
        </w:rPr>
        <w:t>
      с 1 января 2017 г. – в отношении всех транспортных средств категорий М и N.».</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Приложение № 8</w:t>
      </w:r>
      <w:r>
        <w:rPr>
          <w:rFonts w:ascii="Times New Roman"/>
          <w:b w:val="false"/>
          <w:i w:val="false"/>
          <w:color w:val="000000"/>
          <w:sz w:val="28"/>
        </w:rPr>
        <w:t xml:space="preserve"> к указанному техническому регламенту дополнить пунктами 10.20 и 10.21 следующего содержания:</w:t>
      </w:r>
      <w:r>
        <w:br/>
      </w:r>
      <w:r>
        <w:rPr>
          <w:rFonts w:ascii="Times New Roman"/>
          <w:b w:val="false"/>
          <w:i w:val="false"/>
          <w:color w:val="000000"/>
          <w:sz w:val="28"/>
        </w:rPr>
        <w:t>
      «10.20. Установленные на транспортном средстве устройство или система вызова экстренных оперативных служб должны быть работоспособными.</w:t>
      </w:r>
      <w:r>
        <w:br/>
      </w:r>
      <w:r>
        <w:rPr>
          <w:rFonts w:ascii="Times New Roman"/>
          <w:b w:val="false"/>
          <w:i w:val="false"/>
          <w:color w:val="000000"/>
          <w:sz w:val="28"/>
        </w:rPr>
        <w:t>
      10.21. Установленная на транспортном средстве аппаратура спутниковой навигации должна быть работоспособной.».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Приложение № 10</w:t>
      </w:r>
      <w:r>
        <w:rPr>
          <w:rFonts w:ascii="Times New Roman"/>
          <w:b w:val="false"/>
          <w:i w:val="false"/>
          <w:color w:val="000000"/>
          <w:sz w:val="28"/>
        </w:rPr>
        <w:t xml:space="preserve"> к указанному техническому регламенту дополнить позициями 117 и 118 следующего содержания: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978"/>
        <w:gridCol w:w="2552"/>
        <w:gridCol w:w="580"/>
        <w:gridCol w:w="9497"/>
        <w:gridCol w:w="28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спутниковой навигации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 03.</w:t>
            </w:r>
            <w:r>
              <w:br/>
            </w:r>
            <w:r>
              <w:rPr>
                <w:rFonts w:ascii="Times New Roman"/>
                <w:b w:val="false"/>
                <w:i w:val="false"/>
                <w:color w:val="000000"/>
                <w:sz w:val="20"/>
              </w:rPr>
              <w:t>
Должны обеспечиваться:</w:t>
            </w:r>
            <w:r>
              <w:br/>
            </w:r>
            <w:r>
              <w:rPr>
                <w:rFonts w:ascii="Times New Roman"/>
                <w:b w:val="false"/>
                <w:i w:val="false"/>
                <w:color w:val="000000"/>
                <w:sz w:val="20"/>
              </w:rPr>
              <w:t>
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w:t>
            </w:r>
            <w:r>
              <w:br/>
            </w:r>
            <w:r>
              <w:rPr>
                <w:rFonts w:ascii="Times New Roman"/>
                <w:b w:val="false"/>
                <w:i w:val="false"/>
                <w:color w:val="000000"/>
                <w:sz w:val="20"/>
              </w:rPr>
              <w:t>
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r>
              <w:br/>
            </w:r>
            <w:r>
              <w:rPr>
                <w:rFonts w:ascii="Times New Roman"/>
                <w:b w:val="false"/>
                <w:i w:val="false"/>
                <w:color w:val="000000"/>
                <w:sz w:val="20"/>
              </w:rPr>
              <w:t>
возможность осуществления голосовой связи в режиме громкой связи по сетям подвижной радиотелефонной связи стандартов GSM 900 и GSM 1800;</w:t>
            </w:r>
            <w:r>
              <w:br/>
            </w:r>
            <w:r>
              <w:rPr>
                <w:rFonts w:ascii="Times New Roman"/>
                <w:b w:val="false"/>
                <w:i w:val="false"/>
                <w:color w:val="000000"/>
                <w:sz w:val="20"/>
              </w:rPr>
              <w:t>
индикация состояния аппаратуры;</w:t>
            </w:r>
            <w:r>
              <w:br/>
            </w:r>
            <w:r>
              <w:rPr>
                <w:rFonts w:ascii="Times New Roman"/>
                <w:b w:val="false"/>
                <w:i w:val="false"/>
                <w:color w:val="000000"/>
                <w:sz w:val="20"/>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r>
              <w:br/>
            </w:r>
            <w:r>
              <w:rPr>
                <w:rFonts w:ascii="Times New Roman"/>
                <w:b w:val="false"/>
                <w:i w:val="false"/>
                <w:color w:val="000000"/>
                <w:sz w:val="20"/>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r>
              <w:br/>
            </w:r>
            <w:r>
              <w:rPr>
                <w:rFonts w:ascii="Times New Roman"/>
                <w:b w:val="false"/>
                <w:i w:val="false"/>
                <w:color w:val="000000"/>
                <w:sz w:val="20"/>
              </w:rPr>
              <w:t>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r>
              <w:br/>
            </w:r>
            <w:r>
              <w:rPr>
                <w:rFonts w:ascii="Times New Roman"/>
                <w:b w:val="false"/>
                <w:i w:val="false"/>
                <w:color w:val="000000"/>
                <w:sz w:val="20"/>
              </w:rPr>
              <w:t>
объем внутренней энергонезависимой памяти, обеспечивающий запись:</w:t>
            </w:r>
            <w:r>
              <w:br/>
            </w:r>
            <w:r>
              <w:rPr>
                <w:rFonts w:ascii="Times New Roman"/>
                <w:b w:val="false"/>
                <w:i w:val="false"/>
                <w:color w:val="000000"/>
                <w:sz w:val="20"/>
              </w:rPr>
              <w:t>
для транспортных средств категории М – не менее 150 000 последовательно зарегистрированных событий;</w:t>
            </w:r>
            <w:r>
              <w:br/>
            </w:r>
            <w:r>
              <w:rPr>
                <w:rFonts w:ascii="Times New Roman"/>
                <w:b w:val="false"/>
                <w:i w:val="false"/>
                <w:color w:val="000000"/>
                <w:sz w:val="20"/>
              </w:rPr>
              <w:t>
для транспортных средств категории N – не менее 20 000 последовательно зарегистрированных событий;</w:t>
            </w:r>
            <w:r>
              <w:br/>
            </w:r>
            <w:r>
              <w:rPr>
                <w:rFonts w:ascii="Times New Roman"/>
                <w:b w:val="false"/>
                <w:i w:val="false"/>
                <w:color w:val="000000"/>
                <w:sz w:val="20"/>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978"/>
        <w:gridCol w:w="2552"/>
        <w:gridCol w:w="580"/>
        <w:gridCol w:w="9497"/>
        <w:gridCol w:w="28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вызова экстренных оперативных служб</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ЕЭК ООН № 10 – 03.</w:t>
            </w:r>
            <w:r>
              <w:br/>
            </w:r>
            <w:r>
              <w:rPr>
                <w:rFonts w:ascii="Times New Roman"/>
                <w:b w:val="false"/>
                <w:i w:val="false"/>
                <w:color w:val="000000"/>
                <w:sz w:val="20"/>
              </w:rPr>
              <w:t xml:space="preserve">
Работоспособность устройства обеспечивается при температуре окружающего воздуха от - 40 ОС до + 85 </w:t>
            </w:r>
            <w:r>
              <w:rPr>
                <w:rFonts w:ascii="Times New Roman"/>
                <w:b w:val="false"/>
                <w:i w:val="false"/>
                <w:color w:val="000000"/>
                <w:vertAlign w:val="superscript"/>
              </w:rPr>
              <w:t>О</w:t>
            </w:r>
            <w:r>
              <w:rPr>
                <w:rFonts w:ascii="Times New Roman"/>
                <w:b w:val="false"/>
                <w:i w:val="false"/>
                <w:color w:val="000000"/>
                <w:sz w:val="20"/>
              </w:rPr>
              <w:t xml:space="preserve">С. Для резервной батареи (при наличии) допускается минимальная рабочая температура не выше - 20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ЕЭК ООН № 17.</w:t>
            </w:r>
            <w:r>
              <w:br/>
            </w:r>
            <w:r>
              <w:rPr>
                <w:rFonts w:ascii="Times New Roman"/>
                <w:b w:val="false"/>
                <w:i w:val="false"/>
                <w:color w:val="000000"/>
                <w:sz w:val="20"/>
              </w:rPr>
              <w:t>
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r>
              <w:br/>
            </w:r>
            <w:r>
              <w:rPr>
                <w:rFonts w:ascii="Times New Roman"/>
                <w:b w:val="false"/>
                <w:i w:val="false"/>
                <w:color w:val="000000"/>
                <w:sz w:val="20"/>
              </w:rPr>
              <w:t>
Устройство обеспечивает:</w:t>
            </w:r>
            <w:r>
              <w:br/>
            </w:r>
            <w:r>
              <w:rPr>
                <w:rFonts w:ascii="Times New Roman"/>
                <w:b w:val="false"/>
                <w:i w:val="false"/>
                <w:color w:val="000000"/>
                <w:sz w:val="20"/>
              </w:rPr>
              <w:t>
определение местоположения с погрешностью не более 15 м по координатным осям при доверительной вероятности 0,95;</w:t>
            </w:r>
            <w:r>
              <w:br/>
            </w:r>
            <w:r>
              <w:rPr>
                <w:rFonts w:ascii="Times New Roman"/>
                <w:b w:val="false"/>
                <w:i w:val="false"/>
                <w:color w:val="000000"/>
                <w:sz w:val="20"/>
              </w:rPr>
              <w:t>
установление двухстороннего дуплексного голосового соединения в режиме громкой связи c оператором экстренных оперативных служб;</w:t>
            </w:r>
            <w:r>
              <w:br/>
            </w:r>
            <w:r>
              <w:rPr>
                <w:rFonts w:ascii="Times New Roman"/>
                <w:b w:val="false"/>
                <w:i w:val="false"/>
                <w:color w:val="000000"/>
                <w:sz w:val="20"/>
              </w:rPr>
              <w:t>
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r>
              <w:br/>
            </w:r>
            <w:r>
              <w:rPr>
                <w:rFonts w:ascii="Times New Roman"/>
                <w:b w:val="false"/>
                <w:i w:val="false"/>
                <w:color w:val="000000"/>
                <w:sz w:val="20"/>
              </w:rPr>
              <w:t xml:space="preserve">
обязательные признаки приоритетности экстренного вызова в сетях подвижной радиотелефонной связи стандартов GSM 900 и </w:t>
            </w:r>
            <w:r>
              <w:br/>
            </w:r>
            <w:r>
              <w:rPr>
                <w:rFonts w:ascii="Times New Roman"/>
                <w:b w:val="false"/>
                <w:i w:val="false"/>
                <w:color w:val="000000"/>
                <w:sz w:val="20"/>
              </w:rPr>
              <w:t>
GSM 1800, UMTS 900 и UMTS 2000;</w:t>
            </w:r>
            <w:r>
              <w:br/>
            </w:r>
            <w:r>
              <w:rPr>
                <w:rFonts w:ascii="Times New Roman"/>
                <w:b w:val="false"/>
                <w:i w:val="false"/>
                <w:color w:val="000000"/>
                <w:sz w:val="20"/>
              </w:rPr>
              <w:t xml:space="preserve">
при невозможности передачи информации с использованием тонального модема, работающего в сетях подвижной радиотелефонной связи, в течение </w:t>
            </w:r>
            <w:r>
              <w:br/>
            </w:r>
            <w:r>
              <w:rPr>
                <w:rFonts w:ascii="Times New Roman"/>
                <w:b w:val="false"/>
                <w:i w:val="false"/>
                <w:color w:val="000000"/>
                <w:sz w:val="20"/>
              </w:rPr>
              <w:t>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r>
              <w:br/>
            </w:r>
            <w:r>
              <w:rPr>
                <w:rFonts w:ascii="Times New Roman"/>
                <w:b w:val="false"/>
                <w:i w:val="false"/>
                <w:color w:val="000000"/>
                <w:sz w:val="20"/>
              </w:rPr>
              <w:t xml:space="preserve">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w:t>
            </w:r>
            <w:r>
              <w:br/>
            </w:r>
            <w:r>
              <w:rPr>
                <w:rFonts w:ascii="Times New Roman"/>
                <w:b w:val="false"/>
                <w:i w:val="false"/>
                <w:color w:val="000000"/>
                <w:sz w:val="20"/>
              </w:rPr>
              <w:t>
GSM 1800, UMTS 900 и UMTS 2000;</w:t>
            </w:r>
            <w:r>
              <w:br/>
            </w:r>
            <w:r>
              <w:rPr>
                <w:rFonts w:ascii="Times New Roman"/>
                <w:b w:val="false"/>
                <w:i w:val="false"/>
                <w:color w:val="000000"/>
                <w:sz w:val="20"/>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r>
              <w:br/>
            </w:r>
            <w:r>
              <w:rPr>
                <w:rFonts w:ascii="Times New Roman"/>
                <w:b w:val="false"/>
                <w:i w:val="false"/>
                <w:color w:val="000000"/>
                <w:sz w:val="20"/>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r>
              <w:br/>
            </w:r>
            <w:r>
              <w:rPr>
                <w:rFonts w:ascii="Times New Roman"/>
                <w:b w:val="false"/>
                <w:i w:val="false"/>
                <w:color w:val="000000"/>
                <w:sz w:val="20"/>
              </w:rPr>
              <w:t xml:space="preserve">
при невозможности передачи информации посредством использования сетей подвижной радиотелефонной связи стандартов GSM 900 и </w:t>
            </w:r>
            <w:r>
              <w:br/>
            </w:r>
            <w:r>
              <w:rPr>
                <w:rFonts w:ascii="Times New Roman"/>
                <w:b w:val="false"/>
                <w:i w:val="false"/>
                <w:color w:val="000000"/>
                <w:sz w:val="20"/>
              </w:rPr>
              <w:t>
GSM 1800, UMTS 900 и UMTS 2000 – сохранение в энергонезависимой памяти непереданной информации и передачу ее при восстановлении такой возможности;</w:t>
            </w:r>
            <w:r>
              <w:br/>
            </w:r>
            <w:r>
              <w:rPr>
                <w:rFonts w:ascii="Times New Roman"/>
                <w:b w:val="false"/>
                <w:i w:val="false"/>
                <w:color w:val="000000"/>
                <w:sz w:val="20"/>
              </w:rPr>
              <w:t>
автоматический прием входящих телефонных вызовов в течение не менее 20 минут после завершения экстренного вызова;</w:t>
            </w:r>
            <w:r>
              <w:br/>
            </w:r>
            <w:r>
              <w:rPr>
                <w:rFonts w:ascii="Times New Roman"/>
                <w:b w:val="false"/>
                <w:i w:val="false"/>
                <w:color w:val="000000"/>
                <w:sz w:val="20"/>
              </w:rPr>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r>
              <w:br/>
            </w:r>
            <w:r>
              <w:rPr>
                <w:rFonts w:ascii="Times New Roman"/>
                <w:b w:val="false"/>
                <w:i w:val="false"/>
                <w:color w:val="000000"/>
                <w:sz w:val="20"/>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r>
              <w:br/>
            </w:r>
            <w:r>
              <w:rPr>
                <w:rFonts w:ascii="Times New Roman"/>
                <w:b w:val="false"/>
                <w:i w:val="false"/>
                <w:color w:val="000000"/>
                <w:sz w:val="20"/>
              </w:rPr>
              <w:t>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r>
              <w:br/>
            </w:r>
            <w:r>
              <w:rPr>
                <w:rFonts w:ascii="Times New Roman"/>
                <w:b w:val="false"/>
                <w:i w:val="false"/>
                <w:color w:val="000000"/>
                <w:sz w:val="20"/>
              </w:rPr>
              <w:t xml:space="preserve">
возможность передачи результатов тестирования устройства посредством использования сетей подвижной радиотелефонной связи стандартов </w:t>
            </w:r>
            <w:r>
              <w:br/>
            </w:r>
            <w:r>
              <w:rPr>
                <w:rFonts w:ascii="Times New Roman"/>
                <w:b w:val="false"/>
                <w:i w:val="false"/>
                <w:color w:val="000000"/>
                <w:sz w:val="20"/>
              </w:rPr>
              <w:t>
GSM 900 и GSM 1800, UMTS 900 и UMTS 2000;</w:t>
            </w:r>
            <w:r>
              <w:br/>
            </w:r>
            <w:r>
              <w:rPr>
                <w:rFonts w:ascii="Times New Roman"/>
                <w:b w:val="false"/>
                <w:i w:val="false"/>
                <w:color w:val="000000"/>
                <w:sz w:val="20"/>
              </w:rPr>
              <w:t>
возможность обновления информации, хранящейся на неснимаемой персональной 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r>
              <w:br/>
            </w:r>
            <w:r>
              <w:rPr>
                <w:rFonts w:ascii="Times New Roman"/>
                <w:b w:val="false"/>
                <w:i w:val="false"/>
                <w:color w:val="000000"/>
                <w:sz w:val="20"/>
              </w:rPr>
              <w:t>
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кБит/c.</w:t>
            </w:r>
            <w:r>
              <w:br/>
            </w:r>
            <w:r>
              <w:rPr>
                <w:rFonts w:ascii="Times New Roman"/>
                <w:b w:val="false"/>
                <w:i w:val="false"/>
                <w:color w:val="000000"/>
                <w:sz w:val="20"/>
              </w:rPr>
              <w:t xml:space="preserve">
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900, </w:t>
            </w:r>
            <w:r>
              <w:br/>
            </w:r>
            <w:r>
              <w:rPr>
                <w:rFonts w:ascii="Times New Roman"/>
                <w:b w:val="false"/>
                <w:i w:val="false"/>
                <w:color w:val="000000"/>
                <w:sz w:val="20"/>
              </w:rPr>
              <w:t>
GSM 1800, а также UMTS 900 и UMTS 2000.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5"/>
    <w:p>
      <w:pPr>
        <w:spacing w:after="0"/>
        <w:ind w:left="0"/>
        <w:jc w:val="both"/>
      </w:pPr>
      <w:r>
        <w:rPr>
          <w:rFonts w:ascii="Times New Roman"/>
          <w:b w:val="false"/>
          <w:i w:val="false"/>
          <w:color w:val="000000"/>
          <w:sz w:val="28"/>
        </w:rPr>
        <w:t>
      10. В </w:t>
      </w:r>
      <w:r>
        <w:rPr>
          <w:rFonts w:ascii="Times New Roman"/>
          <w:b w:val="false"/>
          <w:i w:val="false"/>
          <w:color w:val="000000"/>
          <w:sz w:val="28"/>
        </w:rPr>
        <w:t>приложении № 14</w:t>
      </w:r>
      <w:r>
        <w:rPr>
          <w:rFonts w:ascii="Times New Roman"/>
          <w:b w:val="false"/>
          <w:i w:val="false"/>
          <w:color w:val="000000"/>
          <w:sz w:val="28"/>
        </w:rPr>
        <w:t xml:space="preserve"> к указанному техническому регламенту </w:t>
      </w:r>
      <w:r>
        <w:br/>
      </w:r>
      <w:r>
        <w:rPr>
          <w:rFonts w:ascii="Times New Roman"/>
          <w:b w:val="false"/>
          <w:i w:val="false"/>
          <w:color w:val="000000"/>
          <w:sz w:val="28"/>
        </w:rPr>
        <w:t>
(приложение №1 к одобрению типа транспортного средства) в таблице позицию «Оборудование транспортного средства» в правой колонке после слова «антенна» дополнить словами «, устройство (система)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приложении № 15</w:t>
      </w:r>
      <w:r>
        <w:rPr>
          <w:rFonts w:ascii="Times New Roman"/>
          <w:b w:val="false"/>
          <w:i w:val="false"/>
          <w:color w:val="000000"/>
          <w:sz w:val="28"/>
        </w:rPr>
        <w:t xml:space="preserve"> к указанному техническому регламенту </w:t>
      </w:r>
      <w:r>
        <w:br/>
      </w:r>
      <w:r>
        <w:rPr>
          <w:rFonts w:ascii="Times New Roman"/>
          <w:b w:val="false"/>
          <w:i w:val="false"/>
          <w:color w:val="000000"/>
          <w:sz w:val="28"/>
        </w:rPr>
        <w:t>
(приложение № 1 к одобрению типа шасси) в таблице позицию «Оборудование шасси» в правой колонке после слова «антенна» дополнить словами «, устройство (система) вызова экстренных оперативных служб».</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