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bbb0" w14:textId="681b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разделении транспортных потоков в автомобильных пунктах пропуска через таможенную границу Таможенного союза и на подъездах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24 апреля 2013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ускорения прохождения товаров и транспортных средств и увеличения пропускной способности автомобильных пунктов пропуска через таможенную границу Таможенного союза (далее – пункты пропуска)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или реконструкции пунктов пропуска осуществлять разделение транспортных потоков в пунктах пропуска и на подъездах к ним путем выделения отдельных полос движения для автобусного, легкового, грузового транспорта, транспорта, осуществляющего перемещение негабаритных товаров (грузов).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разделения транспортных потоков в пунктах пропуска и на подъездах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устанавливать информационно-указательные знаки, информирующие о предназначении полос движения транспортных средств, на каждой полосе движения при въезде в пункт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накопительные стоянки для транспортных средств в непосредственной близости от пунктов пропуска с вместимостью, определяемой исходя из суточной пропускной способности пунктов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оснащать полосы движения транспортных средств в пунктах пропуска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Едиными типовыми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внешнюю границу Таможенного союза, утвержденными Решением Комиссии Таможенного союза от 22 июня 2011 г. № 688;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работы по строительству или реконструкции пунктов пропуска и обустройству подъездов к ним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систему электронного бронирования времени для въезда в пункты пропуска («электронная очередь») с целью регулирования транспортных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вводится в действие с даты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