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2d17" w14:textId="5592d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подготовки порядка разработки и реализации межгосударственных программ в рамках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19 февраля 2013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комиссии, основываясь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результатах анализа межгосударственных программ, реализуемых в рамках Союзного государства и Евразийского экономического сообщества, порядка их разработки и реализации, механизмов финансирования и оценки эффективности,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углубления сотрудничества государств – членов Таможенного союза и Единого экономического пространства (далее – государства-члены) в научно-технической и инновационной сферах, а также обеспечения создания условий для социально-экономического развития государств-членов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Рассмотреть вопрос о необходимости подготовки порядка разработки и реализации межгосударственных программ в рамках Единого экономического пространства, включая механизм их финансирования, и представить в Евразийскую экономическую комиссию соответствующие предложения.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