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2d17" w14:textId="5592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необходимости подготовки порядка разработки и реализации межгосударственных программ в рамках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Евразийской экономической комиссии от 19 февраля 2013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комиссии, основываясь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результатах анализа межгосударственных программ, реализуемых в рамках Союзного государства и Евразийского экономического сообщества, порядка их разработки и реализации, механизмов финансирования и оценки эффективности,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сотрудничества государств – членов Таможенного союза и Единого экономического пространства (далее – государства-члены) в научно-технической и инновационной сферах, а также обеспечения создания условий для социально-экономического развития 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вопрос о необходимости подготовки порядка разработки и реализации межгосударственных программ в рамках Единого экономического пространства, включая механизм их финансирования, и представить в Евразийскую экономическую комиссию соответствующие предложения.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Т.Д. 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